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A Brief History of Homelessness</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color w:val="212529"/>
          <w:highlight w:val="white"/>
        </w:rPr>
      </w:pPr>
      <w:r w:rsidDel="00000000" w:rsidR="00000000" w:rsidRPr="00000000">
        <w:rPr>
          <w:b w:val="1"/>
          <w:color w:val="212529"/>
          <w:highlight w:val="white"/>
          <w:rtl w:val="0"/>
        </w:rPr>
        <w:t xml:space="preserve">The earliest laws against begging date from just after the Peasant's Revolt in 1381. They were followed in 1547 by anti-vagrancy measures to tackle the homeless, whose numbers had swollen following Henry VIII's dissolution of the monasteries.</w:t>
      </w:r>
    </w:p>
    <w:p w:rsidR="00000000" w:rsidDel="00000000" w:rsidP="00000000" w:rsidRDefault="00000000" w:rsidRPr="00000000" w14:paraId="00000004">
      <w:pPr>
        <w:rPr>
          <w:b w:val="1"/>
          <w:color w:val="212529"/>
          <w:highlight w:val="white"/>
        </w:rPr>
      </w:pPr>
      <w:r w:rsidDel="00000000" w:rsidR="00000000" w:rsidRPr="00000000">
        <w:rPr>
          <w:rtl w:val="0"/>
        </w:rPr>
      </w:r>
    </w:p>
    <w:p w:rsidR="00000000" w:rsidDel="00000000" w:rsidP="00000000" w:rsidRDefault="00000000" w:rsidRPr="00000000" w14:paraId="00000005">
      <w:pPr>
        <w:rPr>
          <w:b w:val="1"/>
        </w:rPr>
      </w:pPr>
      <w:hyperlink r:id="rId6">
        <w:r w:rsidDel="00000000" w:rsidR="00000000" w:rsidRPr="00000000">
          <w:rPr>
            <w:b w:val="1"/>
            <w:color w:val="1155cc"/>
            <w:u w:val="single"/>
            <w:rtl w:val="0"/>
          </w:rPr>
          <w:t xml:space="preserve">https://www.thepavement.org.uk/stories/1029</w:t>
        </w:r>
      </w:hyperlink>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Through the eyes of Steve Gower</w:t>
      </w:r>
    </w:p>
    <w:p w:rsidR="00000000" w:rsidDel="00000000" w:rsidP="00000000" w:rsidRDefault="00000000" w:rsidRPr="00000000" w14:paraId="00000008">
      <w:pPr>
        <w:rPr/>
      </w:pPr>
      <w:r w:rsidDel="00000000" w:rsidR="00000000" w:rsidRPr="00000000">
        <w:rPr>
          <w:rtl w:val="0"/>
        </w:rPr>
        <w:t xml:space="preserve">Volunteer Independent Advocate for the Homeless, 2016-24</w:t>
      </w:r>
    </w:p>
    <w:p w:rsidR="00000000" w:rsidDel="00000000" w:rsidP="00000000" w:rsidRDefault="00000000" w:rsidRPr="00000000" w14:paraId="00000009">
      <w:pPr>
        <w:rPr/>
      </w:pPr>
      <w:r w:rsidDel="00000000" w:rsidR="00000000" w:rsidRPr="00000000">
        <w:rPr>
          <w:rtl w:val="0"/>
        </w:rPr>
        <w:t xml:space="preserve">Complimented with editorials of Credible Historical academics and leaders of the free world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highlight w:val="white"/>
          <w:rtl w:val="0"/>
        </w:rPr>
        <w:t xml:space="preserve">Hubert Humphrey (1911-1978) served as U.S. Vice President from 1965 to 1969. </w:t>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rPr>
          <w:color w:val="ff0000"/>
          <w:highlight w:val="white"/>
        </w:rPr>
      </w:pPr>
      <w:r w:rsidDel="00000000" w:rsidR="00000000" w:rsidRPr="00000000">
        <w:rPr>
          <w:highlight w:val="white"/>
          <w:rtl w:val="0"/>
        </w:rPr>
        <w:t xml:space="preserve">In an address to the Democratic National Convention in New York City on July 13, 1976, Humphrey spoke about treating the weakest members of society as a reflection of its government</w:t>
      </w:r>
      <w:r w:rsidDel="00000000" w:rsidR="00000000" w:rsidRPr="00000000">
        <w:rPr>
          <w:color w:val="ff0000"/>
          <w:highlight w:val="white"/>
          <w:rtl w:val="0"/>
        </w:rPr>
        <w:t xml:space="preserve">: </w:t>
      </w:r>
    </w:p>
    <w:p w:rsidR="00000000" w:rsidDel="00000000" w:rsidP="00000000" w:rsidRDefault="00000000" w:rsidRPr="00000000" w14:paraId="0000000F">
      <w:pPr>
        <w:rPr>
          <w:color w:val="ff0000"/>
          <w:highlight w:val="white"/>
        </w:rPr>
      </w:pPr>
      <w:r w:rsidDel="00000000" w:rsidR="00000000" w:rsidRPr="00000000">
        <w:rPr>
          <w:rtl w:val="0"/>
        </w:rPr>
      </w:r>
    </w:p>
    <w:p w:rsidR="00000000" w:rsidDel="00000000" w:rsidP="00000000" w:rsidRDefault="00000000" w:rsidRPr="00000000" w14:paraId="00000010">
      <w:pPr>
        <w:rPr>
          <w:b w:val="1"/>
          <w:i w:val="1"/>
          <w:color w:val="ff0000"/>
          <w:sz w:val="24"/>
          <w:szCs w:val="24"/>
          <w:highlight w:val="white"/>
        </w:rPr>
      </w:pPr>
      <w:r w:rsidDel="00000000" w:rsidR="00000000" w:rsidRPr="00000000">
        <w:rPr>
          <w:b w:val="1"/>
          <w:i w:val="1"/>
          <w:color w:val="ff0000"/>
          <w:sz w:val="24"/>
          <w:szCs w:val="24"/>
          <w:highlight w:val="white"/>
          <w:rtl w:val="0"/>
        </w:rPr>
        <w:t xml:space="preserve">“The ultimate moral test of any government is the way it treats three groups of its citizens. First, those in the dawn of life — our children. Second, those in the shadows of life — our needy, our sick, our handicapped. Third, those in the twilight of life — our elderly.”</w:t>
      </w:r>
    </w:p>
    <w:p w:rsidR="00000000" w:rsidDel="00000000" w:rsidP="00000000" w:rsidRDefault="00000000" w:rsidRPr="00000000" w14:paraId="00000011">
      <w:pPr>
        <w:rPr>
          <w:color w:val="ff0000"/>
          <w:highlight w:val="white"/>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The history of homelessness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Two common phrases from the homeless in 2016</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1] I would rather be in prison</w:t>
      </w:r>
    </w:p>
    <w:p w:rsidR="00000000" w:rsidDel="00000000" w:rsidP="00000000" w:rsidRDefault="00000000" w:rsidRPr="00000000" w14:paraId="00000017">
      <w:pPr>
        <w:rPr/>
      </w:pPr>
      <w:r w:rsidDel="00000000" w:rsidR="00000000" w:rsidRPr="00000000">
        <w:rPr>
          <w:rtl w:val="0"/>
        </w:rPr>
        <w:t xml:space="preserve">2] I feel safer on the street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1815 Duke of Wellington won at the Battle of Waterloo</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1820 -24 Increased levels of homelessness, especially in London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color w:val="212529"/>
          <w:sz w:val="24"/>
          <w:szCs w:val="24"/>
          <w:highlight w:val="white"/>
        </w:rPr>
      </w:pPr>
      <w:r w:rsidDel="00000000" w:rsidR="00000000" w:rsidRPr="00000000">
        <w:rPr>
          <w:color w:val="212529"/>
          <w:sz w:val="24"/>
          <w:szCs w:val="24"/>
          <w:highlight w:val="white"/>
          <w:rtl w:val="0"/>
        </w:rPr>
        <w:t xml:space="preserve">It took some 50 years for it to be realised that rewarding people for collecting vagrants was not the solution: the rewards were cut and then abolished in 1822, by which time, the vagrant population had been swollen by homeless sailors, veterans of the Napoleonic war and persons displaced by the effects of the Industrial Revolution.</w:t>
      </w:r>
    </w:p>
    <w:p w:rsidR="00000000" w:rsidDel="00000000" w:rsidP="00000000" w:rsidRDefault="00000000" w:rsidRPr="00000000" w14:paraId="0000001E">
      <w:pPr>
        <w:rPr>
          <w:color w:val="212529"/>
          <w:sz w:val="24"/>
          <w:szCs w:val="24"/>
          <w:highlight w:val="white"/>
        </w:rPr>
      </w:pPr>
      <w:r w:rsidDel="00000000" w:rsidR="00000000" w:rsidRPr="00000000">
        <w:rPr>
          <w:rtl w:val="0"/>
        </w:rPr>
      </w:r>
    </w:p>
    <w:p w:rsidR="00000000" w:rsidDel="00000000" w:rsidP="00000000" w:rsidRDefault="00000000" w:rsidRPr="00000000" w14:paraId="0000001F">
      <w:pPr>
        <w:rPr>
          <w:color w:val="212529"/>
          <w:sz w:val="24"/>
          <w:szCs w:val="24"/>
          <w:highlight w:val="white"/>
        </w:rPr>
      </w:pPr>
      <w:r w:rsidDel="00000000" w:rsidR="00000000" w:rsidRPr="00000000">
        <w:rPr>
          <w:color w:val="212529"/>
          <w:sz w:val="24"/>
          <w:szCs w:val="24"/>
          <w:highlight w:val="white"/>
          <w:rtl w:val="0"/>
        </w:rPr>
        <w:t xml:space="preserve">The Pavement Magazine</w:t>
      </w:r>
    </w:p>
    <w:p w:rsidR="00000000" w:rsidDel="00000000" w:rsidP="00000000" w:rsidRDefault="00000000" w:rsidRPr="00000000" w14:paraId="00000020">
      <w:pPr>
        <w:pStyle w:val="Heading3"/>
        <w:keepNext w:val="0"/>
        <w:keepLines w:val="0"/>
        <w:shd w:fill="ffffff" w:val="clear"/>
        <w:spacing w:before="0" w:line="288" w:lineRule="auto"/>
        <w:rPr>
          <w:b w:val="1"/>
          <w:color w:val="212529"/>
          <w:sz w:val="24"/>
          <w:szCs w:val="24"/>
          <w:highlight w:val="white"/>
        </w:rPr>
      </w:pPr>
      <w:bookmarkStart w:colFirst="0" w:colLast="0" w:name="_xjx9ucgcxpzl" w:id="0"/>
      <w:bookmarkEnd w:id="0"/>
      <w:r w:rsidDel="00000000" w:rsidR="00000000" w:rsidRPr="00000000">
        <w:rPr>
          <w:b w:val="1"/>
          <w:color w:val="212529"/>
          <w:sz w:val="24"/>
          <w:szCs w:val="24"/>
          <w:highlight w:val="white"/>
          <w:rtl w:val="0"/>
        </w:rPr>
        <w:t xml:space="preserve">The History of the Vagrancy Act 1824</w:t>
      </w:r>
    </w:p>
    <w:p w:rsidR="00000000" w:rsidDel="00000000" w:rsidP="00000000" w:rsidRDefault="00000000" w:rsidRPr="00000000" w14:paraId="00000021">
      <w:pPr>
        <w:numPr>
          <w:ilvl w:val="0"/>
          <w:numId w:val="1"/>
        </w:numPr>
        <w:shd w:fill="ffffff" w:val="clear"/>
        <w:spacing w:after="240" w:line="384.00000000000006" w:lineRule="auto"/>
        <w:ind w:left="720" w:hanging="360"/>
        <w:jc w:val="center"/>
        <w:rPr>
          <w:highlight w:val="white"/>
        </w:rPr>
      </w:pPr>
      <w:hyperlink r:id="rId7">
        <w:r w:rsidDel="00000000" w:rsidR="00000000" w:rsidRPr="00000000">
          <w:rPr>
            <w:b w:val="1"/>
            <w:color w:val="ffffff"/>
            <w:sz w:val="24"/>
            <w:szCs w:val="24"/>
            <w:shd w:fill="ed0c6e" w:val="clear"/>
            <w:rtl w:val="0"/>
          </w:rPr>
          <w:t xml:space="preserve">Alan Murdie</w:t>
        </w:r>
      </w:hyperlink>
      <w:r w:rsidDel="00000000" w:rsidR="00000000" w:rsidRPr="00000000">
        <w:rPr>
          <w:rtl w:val="0"/>
        </w:rPr>
      </w:r>
    </w:p>
    <w:p w:rsidR="00000000" w:rsidDel="00000000" w:rsidP="00000000" w:rsidRDefault="00000000" w:rsidRPr="00000000" w14:paraId="00000022">
      <w:pPr>
        <w:rPr>
          <w:color w:val="212529"/>
          <w:sz w:val="24"/>
          <w:szCs w:val="24"/>
          <w:highlight w:val="white"/>
        </w:rPr>
      </w:pPr>
      <w:r w:rsidDel="00000000" w:rsidR="00000000" w:rsidRPr="00000000">
        <w:rPr>
          <w:i w:val="1"/>
          <w:color w:val="212529"/>
          <w:sz w:val="24"/>
          <w:szCs w:val="24"/>
          <w:highlight w:val="white"/>
          <w:rtl w:val="0"/>
        </w:rPr>
        <w:t xml:space="preserve">June 06 2010</w:t>
      </w:r>
      <w:r w:rsidDel="00000000" w:rsidR="00000000" w:rsidRPr="00000000">
        <w:rPr>
          <w:rtl w:val="0"/>
        </w:rPr>
      </w:r>
    </w:p>
    <w:p w:rsidR="00000000" w:rsidDel="00000000" w:rsidP="00000000" w:rsidRDefault="00000000" w:rsidRPr="00000000" w14:paraId="00000023">
      <w:pPr>
        <w:rPr>
          <w:color w:val="212529"/>
          <w:sz w:val="24"/>
          <w:szCs w:val="24"/>
          <w:highlight w:val="white"/>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1824 The Vagrancy Act</w:t>
      </w:r>
    </w:p>
    <w:p w:rsidR="00000000" w:rsidDel="00000000" w:rsidP="00000000" w:rsidRDefault="00000000" w:rsidRPr="00000000" w14:paraId="00000025">
      <w:pPr>
        <w:rPr/>
      </w:pPr>
      <w:r w:rsidDel="00000000" w:rsidR="00000000" w:rsidRPr="00000000">
        <w:rPr>
          <w:rtl w:val="0"/>
        </w:rPr>
        <w:t xml:space="preserve">Prison</w:t>
      </w:r>
    </w:p>
    <w:p w:rsidR="00000000" w:rsidDel="00000000" w:rsidP="00000000" w:rsidRDefault="00000000" w:rsidRPr="00000000" w14:paraId="00000026">
      <w:pPr>
        <w:rPr/>
      </w:pPr>
      <w:r w:rsidDel="00000000" w:rsidR="00000000" w:rsidRPr="00000000">
        <w:rPr>
          <w:rtl w:val="0"/>
        </w:rPr>
        <w:t xml:space="preserve">Workhouse</w:t>
      </w:r>
    </w:p>
    <w:p w:rsidR="00000000" w:rsidDel="00000000" w:rsidP="00000000" w:rsidRDefault="00000000" w:rsidRPr="00000000" w14:paraId="00000027">
      <w:pPr>
        <w:rPr/>
      </w:pPr>
      <w:r w:rsidDel="00000000" w:rsidR="00000000" w:rsidRPr="00000000">
        <w:rPr>
          <w:rtl w:val="0"/>
        </w:rPr>
        <w:t xml:space="preserve">Asylum</w:t>
      </w:r>
    </w:p>
    <w:p w:rsidR="00000000" w:rsidDel="00000000" w:rsidP="00000000" w:rsidRDefault="00000000" w:rsidRPr="00000000" w14:paraId="00000028">
      <w:pPr>
        <w:rPr>
          <w:color w:val="1f1f1f"/>
          <w:highlight w:val="white"/>
        </w:rPr>
      </w:pPr>
      <w:r w:rsidDel="00000000" w:rsidR="00000000" w:rsidRPr="00000000">
        <w:rPr>
          <w:rtl w:val="0"/>
        </w:rPr>
        <w:t xml:space="preserve">Broadmoor </w:t>
      </w:r>
      <w:r w:rsidDel="00000000" w:rsidR="00000000" w:rsidRPr="00000000">
        <w:rPr>
          <w:color w:val="1f1f1f"/>
          <w:highlight w:val="white"/>
          <w:rtl w:val="0"/>
        </w:rPr>
        <w:t xml:space="preserve">27 May 1863</w:t>
      </w:r>
    </w:p>
    <w:p w:rsidR="00000000" w:rsidDel="00000000" w:rsidP="00000000" w:rsidRDefault="00000000" w:rsidRPr="00000000" w14:paraId="00000029">
      <w:pPr>
        <w:rPr>
          <w:color w:val="1f1f1f"/>
          <w:highlight w:val="white"/>
        </w:rPr>
      </w:pPr>
      <w:r w:rsidDel="00000000" w:rsidR="00000000" w:rsidRPr="00000000">
        <w:rPr>
          <w:rtl w:val="0"/>
        </w:rPr>
      </w:r>
    </w:p>
    <w:p w:rsidR="00000000" w:rsidDel="00000000" w:rsidP="00000000" w:rsidRDefault="00000000" w:rsidRPr="00000000" w14:paraId="0000002A">
      <w:pPr>
        <w:rPr>
          <w:color w:val="4d5156"/>
          <w:highlight w:val="white"/>
        </w:rPr>
      </w:pPr>
      <w:r w:rsidDel="00000000" w:rsidR="00000000" w:rsidRPr="00000000">
        <w:rPr>
          <w:color w:val="4d5156"/>
          <w:highlight w:val="white"/>
          <w:rtl w:val="0"/>
        </w:rPr>
        <w:t xml:space="preserve">The </w:t>
      </w:r>
      <w:r w:rsidDel="00000000" w:rsidR="00000000" w:rsidRPr="00000000">
        <w:rPr>
          <w:b w:val="1"/>
          <w:color w:val="5f6368"/>
          <w:highlight w:val="white"/>
          <w:rtl w:val="0"/>
        </w:rPr>
        <w:t xml:space="preserve">Crimean War</w:t>
      </w:r>
      <w:r w:rsidDel="00000000" w:rsidR="00000000" w:rsidRPr="00000000">
        <w:rPr>
          <w:color w:val="4d5156"/>
          <w:highlight w:val="white"/>
          <w:rtl w:val="0"/>
        </w:rPr>
        <w:t xml:space="preserve"> (1853–56)</w:t>
      </w:r>
    </w:p>
    <w:p w:rsidR="00000000" w:rsidDel="00000000" w:rsidP="00000000" w:rsidRDefault="00000000" w:rsidRPr="00000000" w14:paraId="0000002B">
      <w:pPr>
        <w:rPr>
          <w:color w:val="4d5156"/>
          <w:highlight w:val="white"/>
        </w:rPr>
      </w:pPr>
      <w:r w:rsidDel="00000000" w:rsidR="00000000" w:rsidRPr="00000000">
        <w:rPr>
          <w:rtl w:val="0"/>
        </w:rPr>
      </w:r>
    </w:p>
    <w:p w:rsidR="00000000" w:rsidDel="00000000" w:rsidP="00000000" w:rsidRDefault="00000000" w:rsidRPr="00000000" w14:paraId="0000002C">
      <w:pPr>
        <w:rPr>
          <w:color w:val="474747"/>
          <w:sz w:val="24"/>
          <w:szCs w:val="24"/>
          <w:highlight w:val="white"/>
        </w:rPr>
      </w:pPr>
      <w:r w:rsidDel="00000000" w:rsidR="00000000" w:rsidRPr="00000000">
        <w:rPr>
          <w:color w:val="4d5156"/>
          <w:highlight w:val="white"/>
          <w:rtl w:val="0"/>
        </w:rPr>
        <w:t xml:space="preserve">T</w:t>
      </w:r>
      <w:r w:rsidDel="00000000" w:rsidR="00000000" w:rsidRPr="00000000">
        <w:rPr>
          <w:color w:val="474747"/>
          <w:highlight w:val="white"/>
          <w:rtl w:val="0"/>
        </w:rPr>
        <w:t xml:space="preserve">he 1890 Housing of the Working Classes Act allowed London's local councils to build houses and clear away slums. In 1896 London County Council developed the first council housing in Bethnal Green</w:t>
      </w:r>
      <w:r w:rsidDel="00000000" w:rsidR="00000000" w:rsidRPr="00000000">
        <w:rPr>
          <w:color w:val="474747"/>
          <w:sz w:val="24"/>
          <w:szCs w:val="24"/>
          <w:highlight w:val="white"/>
          <w:rtl w:val="0"/>
        </w:rPr>
        <w:t xml:space="preserve">.</w:t>
      </w:r>
    </w:p>
    <w:p w:rsidR="00000000" w:rsidDel="00000000" w:rsidP="00000000" w:rsidRDefault="00000000" w:rsidRPr="00000000" w14:paraId="0000002D">
      <w:pPr>
        <w:rPr>
          <w:color w:val="474747"/>
          <w:sz w:val="24"/>
          <w:szCs w:val="24"/>
          <w:highlight w:val="white"/>
        </w:rPr>
      </w:pPr>
      <w:r w:rsidDel="00000000" w:rsidR="00000000" w:rsidRPr="00000000">
        <w:rPr>
          <w:rtl w:val="0"/>
        </w:rPr>
      </w:r>
    </w:p>
    <w:p w:rsidR="00000000" w:rsidDel="00000000" w:rsidP="00000000" w:rsidRDefault="00000000" w:rsidRPr="00000000" w14:paraId="0000002E">
      <w:pPr>
        <w:rPr>
          <w:color w:val="4d5156"/>
          <w:sz w:val="21"/>
          <w:szCs w:val="21"/>
          <w:highlight w:val="white"/>
        </w:rPr>
      </w:pPr>
      <w:r w:rsidDel="00000000" w:rsidR="00000000" w:rsidRPr="00000000">
        <w:rPr>
          <w:b w:val="1"/>
          <w:color w:val="5f6368"/>
          <w:sz w:val="21"/>
          <w:szCs w:val="21"/>
          <w:highlight w:val="white"/>
          <w:rtl w:val="0"/>
        </w:rPr>
        <w:t xml:space="preserve">Boer War</w:t>
      </w:r>
      <w:r w:rsidDel="00000000" w:rsidR="00000000" w:rsidRPr="00000000">
        <w:rPr>
          <w:color w:val="4d5156"/>
          <w:sz w:val="21"/>
          <w:szCs w:val="21"/>
          <w:highlight w:val="white"/>
          <w:rtl w:val="0"/>
        </w:rPr>
        <w:t xml:space="preserve">. Between 1899 and 1902</w:t>
      </w:r>
    </w:p>
    <w:p w:rsidR="00000000" w:rsidDel="00000000" w:rsidP="00000000" w:rsidRDefault="00000000" w:rsidRPr="00000000" w14:paraId="0000002F">
      <w:pPr>
        <w:rPr>
          <w:color w:val="4d5156"/>
          <w:sz w:val="21"/>
          <w:szCs w:val="21"/>
          <w:highlight w:val="white"/>
        </w:rPr>
      </w:pPr>
      <w:r w:rsidDel="00000000" w:rsidR="00000000" w:rsidRPr="00000000">
        <w:rPr>
          <w:color w:val="4d5156"/>
          <w:sz w:val="21"/>
          <w:szCs w:val="21"/>
          <w:highlight w:val="white"/>
          <w:rtl w:val="0"/>
        </w:rPr>
        <w:t xml:space="preserve">World War I (1914–18)</w:t>
      </w:r>
    </w:p>
    <w:p w:rsidR="00000000" w:rsidDel="00000000" w:rsidP="00000000" w:rsidRDefault="00000000" w:rsidRPr="00000000" w14:paraId="00000030">
      <w:pPr>
        <w:rPr>
          <w:color w:val="4d5156"/>
          <w:sz w:val="21"/>
          <w:szCs w:val="21"/>
          <w:highlight w:val="white"/>
        </w:rPr>
      </w:pPr>
      <w:r w:rsidDel="00000000" w:rsidR="00000000" w:rsidRPr="00000000">
        <w:rPr>
          <w:rtl w:val="0"/>
        </w:rPr>
      </w:r>
    </w:p>
    <w:p w:rsidR="00000000" w:rsidDel="00000000" w:rsidP="00000000" w:rsidRDefault="00000000" w:rsidRPr="00000000" w14:paraId="00000031">
      <w:pPr>
        <w:pBdr>
          <w:left w:color="000000" w:space="0" w:sz="0" w:val="none"/>
          <w:right w:color="000000" w:space="0" w:sz="0" w:val="none"/>
        </w:pBdr>
        <w:shd w:fill="ffffff" w:val="clear"/>
        <w:spacing w:after="300" w:line="366.5454545454545" w:lineRule="auto"/>
        <w:rPr>
          <w:color w:val="333333"/>
          <w:highlight w:val="white"/>
        </w:rPr>
      </w:pPr>
      <w:r w:rsidDel="00000000" w:rsidR="00000000" w:rsidRPr="00000000">
        <w:rPr>
          <w:color w:val="333333"/>
          <w:highlight w:val="white"/>
          <w:rtl w:val="0"/>
        </w:rPr>
        <w:t xml:space="preserve">The first major council house-building programme occurred between the First and Second World Wars. Some 17,000 homes were built across Britain in 1920/21, jumping quickly to 110,000 in 1921/22. Housing was a big concern for Liberal Prime Minister David Lloyd George, who had campaigned on the slogan of building homes “fit for heroes”.</w:t>
      </w:r>
    </w:p>
    <w:p w:rsidR="00000000" w:rsidDel="00000000" w:rsidP="00000000" w:rsidRDefault="00000000" w:rsidRPr="00000000" w14:paraId="00000032">
      <w:pPr>
        <w:pBdr>
          <w:left w:color="000000" w:space="0" w:sz="0" w:val="none"/>
          <w:right w:color="000000" w:space="0" w:sz="0" w:val="none"/>
        </w:pBdr>
        <w:shd w:fill="ffffff" w:val="clear"/>
        <w:spacing w:after="300" w:line="366.5454545454545" w:lineRule="auto"/>
        <w:rPr>
          <w:color w:val="333333"/>
          <w:highlight w:val="white"/>
        </w:rPr>
      </w:pPr>
      <w:r w:rsidDel="00000000" w:rsidR="00000000" w:rsidRPr="00000000">
        <w:rPr>
          <w:color w:val="333333"/>
          <w:highlight w:val="white"/>
          <w:rtl w:val="0"/>
        </w:rPr>
        <w:t xml:space="preserve">The building scale fluctuated over the next two decades, peaking in 1938/39 when 122,000 new council houses were completed, but the outbreak of the Second World War in 1939 brought building almost to a halt.</w:t>
      </w:r>
    </w:p>
    <w:p w:rsidR="00000000" w:rsidDel="00000000" w:rsidP="00000000" w:rsidRDefault="00000000" w:rsidRPr="00000000" w14:paraId="00000033">
      <w:pPr>
        <w:pBdr>
          <w:left w:color="000000" w:space="0" w:sz="0" w:val="none"/>
          <w:right w:color="000000" w:space="0" w:sz="0" w:val="none"/>
        </w:pBdr>
        <w:shd w:fill="ffffff" w:val="clear"/>
        <w:spacing w:after="300" w:line="366.5454545454545" w:lineRule="auto"/>
        <w:rPr>
          <w:color w:val="333333"/>
          <w:highlight w:val="white"/>
        </w:rPr>
      </w:pPr>
      <w:hyperlink r:id="rId8">
        <w:r w:rsidDel="00000000" w:rsidR="00000000" w:rsidRPr="00000000">
          <w:rPr>
            <w:color w:val="1155cc"/>
            <w:highlight w:val="white"/>
            <w:u w:val="single"/>
            <w:rtl w:val="0"/>
          </w:rPr>
          <w:t xml:space="preserve">https://www.penarthtimes.co.uk/news/national/16888594.key-events-history-uk-council-housing/</w:t>
        </w:r>
      </w:hyperlink>
      <w:r w:rsidDel="00000000" w:rsidR="00000000" w:rsidRPr="00000000">
        <w:rPr>
          <w:rtl w:val="0"/>
        </w:rPr>
      </w:r>
    </w:p>
    <w:p w:rsidR="00000000" w:rsidDel="00000000" w:rsidP="00000000" w:rsidRDefault="00000000" w:rsidRPr="00000000" w14:paraId="00000034">
      <w:pPr>
        <w:rPr>
          <w:color w:val="1f1f1f"/>
          <w:highlight w:val="white"/>
        </w:rPr>
      </w:pPr>
      <w:r w:rsidDel="00000000" w:rsidR="00000000" w:rsidRPr="00000000">
        <w:rPr>
          <w:color w:val="1f1f1f"/>
          <w:highlight w:val="white"/>
          <w:rtl w:val="0"/>
        </w:rPr>
        <w:t xml:space="preserve">Second World War (</w:t>
      </w:r>
      <w:r w:rsidDel="00000000" w:rsidR="00000000" w:rsidRPr="00000000">
        <w:rPr>
          <w:color w:val="040c28"/>
          <w:shd w:fill="d3e3fd" w:val="clear"/>
          <w:rtl w:val="0"/>
        </w:rPr>
        <w:t xml:space="preserve">1 September 1939 – 2 September 1945</w:t>
      </w:r>
      <w:r w:rsidDel="00000000" w:rsidR="00000000" w:rsidRPr="00000000">
        <w:rPr>
          <w:color w:val="1f1f1f"/>
          <w:highlight w:val="white"/>
          <w:rtl w:val="0"/>
        </w:rPr>
        <w:t xml:space="preserve">)</w:t>
      </w:r>
    </w:p>
    <w:p w:rsidR="00000000" w:rsidDel="00000000" w:rsidP="00000000" w:rsidRDefault="00000000" w:rsidRPr="00000000" w14:paraId="00000035">
      <w:pPr>
        <w:rPr>
          <w:color w:val="001d35"/>
          <w:highlight w:val="white"/>
        </w:rPr>
      </w:pPr>
      <w:r w:rsidDel="00000000" w:rsidR="00000000" w:rsidRPr="00000000">
        <w:rPr>
          <w:color w:val="001d35"/>
          <w:highlight w:val="white"/>
          <w:rtl w:val="0"/>
        </w:rPr>
        <w:t xml:space="preserve">The Iron Curtain </w:t>
      </w:r>
      <w:r w:rsidDel="00000000" w:rsidR="00000000" w:rsidRPr="00000000">
        <w:rPr>
          <w:rtl w:val="0"/>
        </w:rPr>
        <w:t xml:space="preserve">began at the end of World War II in 1945 and ended in 1989–90</w:t>
      </w:r>
      <w:r w:rsidDel="00000000" w:rsidR="00000000" w:rsidRPr="00000000">
        <w:rPr>
          <w:color w:val="001d35"/>
          <w:highlight w:val="white"/>
          <w:rtl w:val="0"/>
        </w:rPr>
        <w:t xml:space="preserve">:</w:t>
      </w:r>
    </w:p>
    <w:p w:rsidR="00000000" w:rsidDel="00000000" w:rsidP="00000000" w:rsidRDefault="00000000" w:rsidRPr="00000000" w14:paraId="00000036">
      <w:pPr>
        <w:rPr>
          <w:color w:val="001d35"/>
          <w:highlight w:val="white"/>
        </w:rPr>
      </w:pPr>
      <w:r w:rsidDel="00000000" w:rsidR="00000000" w:rsidRPr="00000000">
        <w:rPr>
          <w:rtl w:val="0"/>
        </w:rPr>
      </w:r>
    </w:p>
    <w:p w:rsidR="00000000" w:rsidDel="00000000" w:rsidP="00000000" w:rsidRDefault="00000000" w:rsidRPr="00000000" w14:paraId="00000037">
      <w:pPr>
        <w:rPr/>
      </w:pPr>
      <w:r w:rsidDel="00000000" w:rsidR="00000000" w:rsidRPr="00000000">
        <w:rPr>
          <w:color w:val="202122"/>
          <w:highlight w:val="white"/>
          <w:rtl w:val="0"/>
        </w:rPr>
        <w:t xml:space="preserve">Monday, January 6, 1941. In an address known as the </w:t>
      </w:r>
      <w:hyperlink r:id="rId9">
        <w:r w:rsidDel="00000000" w:rsidR="00000000" w:rsidRPr="00000000">
          <w:rPr>
            <w:color w:val="1155cc"/>
            <w:highlight w:val="white"/>
            <w:rtl w:val="0"/>
          </w:rPr>
          <w:t xml:space="preserve">Four Freedoms speech</w:t>
        </w:r>
      </w:hyperlink>
      <w:r w:rsidDel="00000000" w:rsidR="00000000" w:rsidRPr="00000000">
        <w:rPr>
          <w:rtl w:val="0"/>
        </w:rPr>
      </w:r>
    </w:p>
    <w:p w:rsidR="00000000" w:rsidDel="00000000" w:rsidP="00000000" w:rsidRDefault="00000000" w:rsidRPr="00000000" w14:paraId="00000038">
      <w:pPr>
        <w:shd w:fill="ffffff" w:val="clear"/>
        <w:spacing w:after="240" w:before="120" w:lineRule="auto"/>
        <w:rPr>
          <w:color w:val="202122"/>
        </w:rPr>
      </w:pPr>
      <w:r w:rsidDel="00000000" w:rsidR="00000000" w:rsidRPr="00000000">
        <w:rPr>
          <w:color w:val="202122"/>
          <w:rtl w:val="0"/>
        </w:rPr>
        <w:t xml:space="preserve">four fundamental freedoms that people "everywhere in the world" ought to enjoy:</w:t>
      </w:r>
    </w:p>
    <w:p w:rsidR="00000000" w:rsidDel="00000000" w:rsidP="00000000" w:rsidRDefault="00000000" w:rsidRPr="00000000" w14:paraId="00000039">
      <w:pPr>
        <w:numPr>
          <w:ilvl w:val="0"/>
          <w:numId w:val="2"/>
        </w:numPr>
        <w:shd w:fill="ffffff" w:val="clear"/>
        <w:spacing w:after="0" w:before="0" w:lineRule="auto"/>
        <w:ind w:left="1420" w:hanging="360"/>
        <w:rPr/>
      </w:pPr>
      <w:hyperlink r:id="rId10">
        <w:r w:rsidDel="00000000" w:rsidR="00000000" w:rsidRPr="00000000">
          <w:rPr>
            <w:color w:val="1155cc"/>
            <w:rtl w:val="0"/>
          </w:rPr>
          <w:t xml:space="preserve">Freedom of speech and expression</w:t>
        </w:r>
      </w:hyperlink>
      <w:r w:rsidDel="00000000" w:rsidR="00000000" w:rsidRPr="00000000">
        <w:rPr>
          <w:rtl w:val="0"/>
        </w:rPr>
      </w:r>
    </w:p>
    <w:p w:rsidR="00000000" w:rsidDel="00000000" w:rsidP="00000000" w:rsidRDefault="00000000" w:rsidRPr="00000000" w14:paraId="0000003A">
      <w:pPr>
        <w:numPr>
          <w:ilvl w:val="0"/>
          <w:numId w:val="2"/>
        </w:numPr>
        <w:shd w:fill="ffffff" w:val="clear"/>
        <w:spacing w:after="0" w:before="0" w:lineRule="auto"/>
        <w:ind w:left="1420" w:hanging="360"/>
        <w:rPr/>
      </w:pPr>
      <w:hyperlink r:id="rId11">
        <w:r w:rsidDel="00000000" w:rsidR="00000000" w:rsidRPr="00000000">
          <w:rPr>
            <w:color w:val="1155cc"/>
            <w:rtl w:val="0"/>
          </w:rPr>
          <w:t xml:space="preserve">Freedom of worship</w:t>
        </w:r>
      </w:hyperlink>
      <w:r w:rsidDel="00000000" w:rsidR="00000000" w:rsidRPr="00000000">
        <w:rPr>
          <w:rtl w:val="0"/>
        </w:rPr>
      </w:r>
    </w:p>
    <w:p w:rsidR="00000000" w:rsidDel="00000000" w:rsidP="00000000" w:rsidRDefault="00000000" w:rsidRPr="00000000" w14:paraId="0000003B">
      <w:pPr>
        <w:numPr>
          <w:ilvl w:val="0"/>
          <w:numId w:val="2"/>
        </w:numPr>
        <w:shd w:fill="ffffff" w:val="clear"/>
        <w:spacing w:after="0" w:before="0" w:lineRule="auto"/>
        <w:ind w:left="1420" w:hanging="360"/>
        <w:rPr/>
      </w:pPr>
      <w:hyperlink r:id="rId12">
        <w:r w:rsidDel="00000000" w:rsidR="00000000" w:rsidRPr="00000000">
          <w:rPr>
            <w:color w:val="1155cc"/>
            <w:rtl w:val="0"/>
          </w:rPr>
          <w:t xml:space="preserve">Freedom from want</w:t>
        </w:r>
      </w:hyperlink>
      <w:r w:rsidDel="00000000" w:rsidR="00000000" w:rsidRPr="00000000">
        <w:rPr>
          <w:rtl w:val="0"/>
        </w:rPr>
      </w:r>
    </w:p>
    <w:p w:rsidR="00000000" w:rsidDel="00000000" w:rsidP="00000000" w:rsidRDefault="00000000" w:rsidRPr="00000000" w14:paraId="0000003C">
      <w:pPr>
        <w:numPr>
          <w:ilvl w:val="0"/>
          <w:numId w:val="2"/>
        </w:numPr>
        <w:shd w:fill="ffffff" w:val="clear"/>
        <w:spacing w:after="20" w:before="0" w:lineRule="auto"/>
        <w:ind w:left="1420" w:hanging="360"/>
        <w:rPr/>
      </w:pPr>
      <w:hyperlink r:id="rId13">
        <w:r w:rsidDel="00000000" w:rsidR="00000000" w:rsidRPr="00000000">
          <w:rPr>
            <w:color w:val="1155cc"/>
            <w:rtl w:val="0"/>
          </w:rPr>
          <w:t xml:space="preserve">Freedom from fear</w:t>
        </w:r>
      </w:hyperlink>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hyperlink r:id="rId14">
        <w:r w:rsidDel="00000000" w:rsidR="00000000" w:rsidRPr="00000000">
          <w:rPr>
            <w:u w:val="single"/>
            <w:rtl w:val="0"/>
          </w:rPr>
          <w:t xml:space="preserve">Universal Declaration of Human Rights</w:t>
        </w:r>
      </w:hyperlink>
      <w:r w:rsidDel="00000000" w:rsidR="00000000" w:rsidRPr="00000000">
        <w:rPr>
          <w:rtl w:val="0"/>
        </w:rPr>
        <w:t xml:space="preserve"> 1948</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color w:val="001d35"/>
          <w:highlight w:val="white"/>
        </w:rPr>
      </w:pPr>
      <w:r w:rsidDel="00000000" w:rsidR="00000000" w:rsidRPr="00000000">
        <w:rPr>
          <w:color w:val="001d35"/>
          <w:highlight w:val="white"/>
          <w:rtl w:val="0"/>
        </w:rPr>
        <w:t xml:space="preserve"> Article 25 of the Universal Declaration of Human Rights states that everyone has the right to a standard of living that is adequate for their health and well-being. This includes the right to:</w:t>
      </w:r>
    </w:p>
    <w:p w:rsidR="00000000" w:rsidDel="00000000" w:rsidP="00000000" w:rsidRDefault="00000000" w:rsidRPr="00000000" w14:paraId="00000046">
      <w:pPr>
        <w:numPr>
          <w:ilvl w:val="0"/>
          <w:numId w:val="3"/>
        </w:numPr>
        <w:pBdr>
          <w:top w:color="000000" w:space="0" w:sz="0" w:val="none"/>
          <w:bottom w:color="000000" w:space="0" w:sz="0" w:val="none"/>
          <w:right w:color="000000" w:space="0" w:sz="0" w:val="none"/>
          <w:between w:color="000000" w:space="0" w:sz="0" w:val="none"/>
        </w:pBdr>
        <w:spacing w:after="0" w:before="160" w:line="330" w:lineRule="auto"/>
        <w:ind w:left="720" w:hanging="360"/>
        <w:rPr>
          <w:highlight w:val="white"/>
        </w:rPr>
      </w:pPr>
      <w:r w:rsidDel="00000000" w:rsidR="00000000" w:rsidRPr="00000000">
        <w:rPr>
          <w:color w:val="001d35"/>
          <w:highlight w:val="white"/>
          <w:rtl w:val="0"/>
        </w:rPr>
        <w:t xml:space="preserve">Food</w:t>
      </w:r>
      <w:r w:rsidDel="00000000" w:rsidR="00000000" w:rsidRPr="00000000">
        <w:rPr>
          <w:rtl w:val="0"/>
        </w:rPr>
      </w:r>
    </w:p>
    <w:p w:rsidR="00000000" w:rsidDel="00000000" w:rsidP="00000000" w:rsidRDefault="00000000" w:rsidRPr="00000000" w14:paraId="00000047">
      <w:pPr>
        <w:numPr>
          <w:ilvl w:val="0"/>
          <w:numId w:val="3"/>
        </w:numPr>
        <w:pBdr>
          <w:top w:color="000000" w:space="0" w:sz="0" w:val="none"/>
          <w:bottom w:color="000000" w:space="0" w:sz="0" w:val="none"/>
          <w:right w:color="000000" w:space="0" w:sz="0" w:val="none"/>
          <w:between w:color="000000" w:space="0" w:sz="0" w:val="none"/>
        </w:pBdr>
        <w:spacing w:after="0" w:before="0" w:line="330" w:lineRule="auto"/>
        <w:ind w:left="720" w:hanging="360"/>
        <w:rPr>
          <w:highlight w:val="white"/>
        </w:rPr>
      </w:pPr>
      <w:r w:rsidDel="00000000" w:rsidR="00000000" w:rsidRPr="00000000">
        <w:rPr>
          <w:color w:val="001d35"/>
          <w:highlight w:val="white"/>
          <w:rtl w:val="0"/>
        </w:rPr>
        <w:t xml:space="preserve">Clothing</w:t>
      </w:r>
      <w:r w:rsidDel="00000000" w:rsidR="00000000" w:rsidRPr="00000000">
        <w:rPr>
          <w:rtl w:val="0"/>
        </w:rPr>
      </w:r>
    </w:p>
    <w:p w:rsidR="00000000" w:rsidDel="00000000" w:rsidP="00000000" w:rsidRDefault="00000000" w:rsidRPr="00000000" w14:paraId="00000048">
      <w:pPr>
        <w:numPr>
          <w:ilvl w:val="0"/>
          <w:numId w:val="3"/>
        </w:numPr>
        <w:pBdr>
          <w:top w:color="000000" w:space="0" w:sz="0" w:val="none"/>
          <w:bottom w:color="000000" w:space="0" w:sz="0" w:val="none"/>
          <w:right w:color="000000" w:space="0" w:sz="0" w:val="none"/>
          <w:between w:color="000000" w:space="0" w:sz="0" w:val="none"/>
        </w:pBdr>
        <w:spacing w:after="0" w:before="0" w:line="330" w:lineRule="auto"/>
        <w:ind w:left="720" w:hanging="360"/>
        <w:rPr>
          <w:highlight w:val="white"/>
        </w:rPr>
      </w:pPr>
      <w:r w:rsidDel="00000000" w:rsidR="00000000" w:rsidRPr="00000000">
        <w:rPr>
          <w:color w:val="001d35"/>
          <w:highlight w:val="white"/>
          <w:rtl w:val="0"/>
        </w:rPr>
        <w:t xml:space="preserve">Housing</w:t>
      </w:r>
      <w:r w:rsidDel="00000000" w:rsidR="00000000" w:rsidRPr="00000000">
        <w:rPr>
          <w:rtl w:val="0"/>
        </w:rPr>
      </w:r>
    </w:p>
    <w:p w:rsidR="00000000" w:rsidDel="00000000" w:rsidP="00000000" w:rsidRDefault="00000000" w:rsidRPr="00000000" w14:paraId="00000049">
      <w:pPr>
        <w:numPr>
          <w:ilvl w:val="0"/>
          <w:numId w:val="3"/>
        </w:numPr>
        <w:pBdr>
          <w:top w:color="000000" w:space="0" w:sz="0" w:val="none"/>
          <w:bottom w:color="000000" w:space="0" w:sz="0" w:val="none"/>
          <w:right w:color="000000" w:space="0" w:sz="0" w:val="none"/>
          <w:between w:color="000000" w:space="0" w:sz="0" w:val="none"/>
        </w:pBdr>
        <w:spacing w:after="0" w:before="0" w:line="330" w:lineRule="auto"/>
        <w:ind w:left="720" w:hanging="360"/>
        <w:rPr>
          <w:highlight w:val="white"/>
        </w:rPr>
      </w:pPr>
      <w:r w:rsidDel="00000000" w:rsidR="00000000" w:rsidRPr="00000000">
        <w:rPr>
          <w:color w:val="001d35"/>
          <w:highlight w:val="white"/>
          <w:rtl w:val="0"/>
        </w:rPr>
        <w:t xml:space="preserve">Medical care</w:t>
      </w:r>
      <w:r w:rsidDel="00000000" w:rsidR="00000000" w:rsidRPr="00000000">
        <w:rPr>
          <w:rtl w:val="0"/>
        </w:rPr>
      </w:r>
    </w:p>
    <w:p w:rsidR="00000000" w:rsidDel="00000000" w:rsidP="00000000" w:rsidRDefault="00000000" w:rsidRPr="00000000" w14:paraId="0000004A">
      <w:pPr>
        <w:numPr>
          <w:ilvl w:val="0"/>
          <w:numId w:val="3"/>
        </w:numPr>
        <w:pBdr>
          <w:top w:color="000000" w:space="0" w:sz="0" w:val="none"/>
          <w:bottom w:color="000000" w:space="0" w:sz="0" w:val="none"/>
          <w:right w:color="000000" w:space="0" w:sz="0" w:val="none"/>
          <w:between w:color="000000" w:space="0" w:sz="0" w:val="none"/>
        </w:pBdr>
        <w:spacing w:after="0" w:before="0" w:line="330" w:lineRule="auto"/>
        <w:ind w:left="720" w:hanging="360"/>
        <w:rPr>
          <w:highlight w:val="white"/>
        </w:rPr>
      </w:pPr>
      <w:r w:rsidDel="00000000" w:rsidR="00000000" w:rsidRPr="00000000">
        <w:rPr>
          <w:color w:val="001d35"/>
          <w:highlight w:val="white"/>
          <w:rtl w:val="0"/>
        </w:rPr>
        <w:t xml:space="preserve">Necessary social services</w:t>
      </w:r>
      <w:r w:rsidDel="00000000" w:rsidR="00000000" w:rsidRPr="00000000">
        <w:rPr>
          <w:rtl w:val="0"/>
        </w:rPr>
      </w:r>
    </w:p>
    <w:p w:rsidR="00000000" w:rsidDel="00000000" w:rsidP="00000000" w:rsidRDefault="00000000" w:rsidRPr="00000000" w14:paraId="0000004B">
      <w:pPr>
        <w:numPr>
          <w:ilvl w:val="0"/>
          <w:numId w:val="3"/>
        </w:numPr>
        <w:pBdr>
          <w:top w:color="000000" w:space="0" w:sz="0" w:val="none"/>
          <w:bottom w:color="000000" w:space="0" w:sz="0" w:val="none"/>
          <w:right w:color="000000" w:space="0" w:sz="0" w:val="none"/>
          <w:between w:color="000000" w:space="0" w:sz="0" w:val="none"/>
        </w:pBdr>
        <w:spacing w:after="300" w:before="0" w:line="330" w:lineRule="auto"/>
        <w:ind w:left="720" w:right="100" w:hanging="360"/>
        <w:rPr>
          <w:highlight w:val="white"/>
        </w:rPr>
      </w:pPr>
      <w:r w:rsidDel="00000000" w:rsidR="00000000" w:rsidRPr="00000000">
        <w:rPr>
          <w:color w:val="001d35"/>
          <w:highlight w:val="white"/>
          <w:rtl w:val="0"/>
        </w:rPr>
        <w:t xml:space="preserve">Security in the event of unemployment, sickness, disability, widowhood, old age, or other lack of livelihood </w:t>
      </w:r>
      <w:r w:rsidDel="00000000" w:rsidR="00000000" w:rsidRPr="00000000">
        <w:rPr>
          <w:rtl w:val="0"/>
        </w:rPr>
      </w:r>
    </w:p>
    <w:p w:rsidR="00000000" w:rsidDel="00000000" w:rsidP="00000000" w:rsidRDefault="00000000" w:rsidRPr="00000000" w14:paraId="0000004C">
      <w:pPr>
        <w:shd w:fill="ffffff" w:val="clear"/>
        <w:spacing w:after="300" w:before="160" w:lineRule="auto"/>
        <w:ind w:right="100"/>
        <w:jc w:val="center"/>
        <w:rPr>
          <w:color w:val="001d35"/>
          <w:highlight w:val="white"/>
        </w:rPr>
      </w:pPr>
      <w:r w:rsidDel="00000000" w:rsidR="00000000" w:rsidRPr="00000000">
        <w:rPr>
          <w:color w:val="001d35"/>
          <w:highlight w:val="white"/>
          <w:rtl w:val="0"/>
        </w:rPr>
        <w:t xml:space="preserve">The article also states that motherhood and childhood are entitled to special care and assistance and that all children should enjoy the same social protection. </w:t>
      </w:r>
    </w:p>
    <w:p w:rsidR="00000000" w:rsidDel="00000000" w:rsidP="00000000" w:rsidRDefault="00000000" w:rsidRPr="00000000" w14:paraId="0000004D">
      <w:pPr>
        <w:shd w:fill="ffffff" w:val="clear"/>
        <w:spacing w:after="300" w:before="160" w:lineRule="auto"/>
        <w:ind w:right="100"/>
        <w:jc w:val="center"/>
        <w:rPr>
          <w:color w:val="001d35"/>
          <w:highlight w:val="white"/>
        </w:rPr>
      </w:pPr>
      <w:r w:rsidDel="00000000" w:rsidR="00000000" w:rsidRPr="00000000">
        <w:rPr>
          <w:rtl w:val="0"/>
        </w:rPr>
      </w:r>
    </w:p>
    <w:p w:rsidR="00000000" w:rsidDel="00000000" w:rsidP="00000000" w:rsidRDefault="00000000" w:rsidRPr="00000000" w14:paraId="0000004E">
      <w:pPr>
        <w:pBdr>
          <w:left w:color="000000" w:space="0" w:sz="0" w:val="none"/>
          <w:right w:color="000000" w:space="0" w:sz="0" w:val="none"/>
        </w:pBdr>
        <w:shd w:fill="ffffff" w:val="clear"/>
        <w:spacing w:after="300" w:line="366.5454545454545" w:lineRule="auto"/>
        <w:rPr>
          <w:color w:val="333333"/>
          <w:highlight w:val="white"/>
        </w:rPr>
      </w:pPr>
      <w:r w:rsidDel="00000000" w:rsidR="00000000" w:rsidRPr="00000000">
        <w:rPr>
          <w:color w:val="333333"/>
          <w:highlight w:val="white"/>
          <w:rtl w:val="0"/>
        </w:rPr>
        <w:t xml:space="preserve">It was not until 1946 that major construction began again, hitting 168,780 in 1949. Between then and 1978, the total number of new council homes completed each year in the UK never fell below 100,000.</w:t>
      </w:r>
    </w:p>
    <w:p w:rsidR="00000000" w:rsidDel="00000000" w:rsidP="00000000" w:rsidRDefault="00000000" w:rsidRPr="00000000" w14:paraId="0000004F">
      <w:pPr>
        <w:pBdr>
          <w:left w:color="000000" w:space="0" w:sz="0" w:val="none"/>
          <w:right w:color="000000" w:space="0" w:sz="0" w:val="none"/>
        </w:pBdr>
        <w:shd w:fill="ffffff" w:val="clear"/>
        <w:spacing w:after="300" w:line="366.5454545454545" w:lineRule="auto"/>
        <w:rPr>
          <w:color w:val="333333"/>
          <w:highlight w:val="white"/>
        </w:rPr>
      </w:pPr>
      <w:hyperlink r:id="rId15">
        <w:r w:rsidDel="00000000" w:rsidR="00000000" w:rsidRPr="00000000">
          <w:rPr>
            <w:color w:val="1155cc"/>
            <w:highlight w:val="white"/>
            <w:u w:val="single"/>
            <w:rtl w:val="0"/>
          </w:rPr>
          <w:t xml:space="preserve">https://www.penarthtimes.co.uk/news/national/16888594.key-events-history-uk-council-housing/</w:t>
        </w:r>
      </w:hyperlink>
      <w:r w:rsidDel="00000000" w:rsidR="00000000" w:rsidRPr="00000000">
        <w:rPr>
          <w:rtl w:val="0"/>
        </w:rPr>
      </w:r>
    </w:p>
    <w:p w:rsidR="00000000" w:rsidDel="00000000" w:rsidP="00000000" w:rsidRDefault="00000000" w:rsidRPr="00000000" w14:paraId="00000050">
      <w:pPr>
        <w:rPr>
          <w:color w:val="001d35"/>
          <w:sz w:val="27"/>
          <w:szCs w:val="27"/>
          <w:highlight w:val="white"/>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1963 Care in the community JFK USA President</w:t>
      </w:r>
    </w:p>
    <w:p w:rsidR="00000000" w:rsidDel="00000000" w:rsidP="00000000" w:rsidRDefault="00000000" w:rsidRPr="00000000" w14:paraId="00000052">
      <w:pPr>
        <w:rPr>
          <w:rFonts w:ascii="Times New Roman" w:cs="Times New Roman" w:eastAsia="Times New Roman" w:hAnsi="Times New Roman"/>
          <w:i w:val="1"/>
          <w:color w:val="343c40"/>
          <w:highlight w:val="white"/>
        </w:rPr>
      </w:pPr>
      <w:r w:rsidDel="00000000" w:rsidR="00000000" w:rsidRPr="00000000">
        <w:rPr>
          <w:rFonts w:ascii="Times New Roman" w:cs="Times New Roman" w:eastAsia="Times New Roman" w:hAnsi="Times New Roman"/>
          <w:i w:val="1"/>
          <w:color w:val="343c40"/>
          <w:highlight w:val="white"/>
          <w:rtl w:val="0"/>
        </w:rPr>
        <w:t xml:space="preserve">On Oct. 31, 1963, President John F. Kennedy signed a bill meant to free many thousands of Americans with mental illnesses from life in institutions. It envisioned building 1,500 outpatient mental health centres to offer them community-based care instead. The bill would be the last piece of legislation Kennedy would ever sign; he was assassinated three weeks later.</w:t>
      </w:r>
    </w:p>
    <w:p w:rsidR="00000000" w:rsidDel="00000000" w:rsidP="00000000" w:rsidRDefault="00000000" w:rsidRPr="00000000" w14:paraId="00000053">
      <w:pPr>
        <w:rPr>
          <w:rFonts w:ascii="Times New Roman" w:cs="Times New Roman" w:eastAsia="Times New Roman" w:hAnsi="Times New Roman"/>
          <w:i w:val="1"/>
          <w:color w:val="343c40"/>
          <w:highlight w:val="white"/>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color w:val="343c40"/>
          <w:highlight w:val="white"/>
        </w:rPr>
      </w:pPr>
      <w:r w:rsidDel="00000000" w:rsidR="00000000" w:rsidRPr="00000000">
        <w:rPr>
          <w:rFonts w:ascii="Times New Roman" w:cs="Times New Roman" w:eastAsia="Times New Roman" w:hAnsi="Times New Roman"/>
          <w:color w:val="343c40"/>
          <w:highlight w:val="white"/>
          <w:rtl w:val="0"/>
        </w:rPr>
        <w:t xml:space="preserve">https://www.wbur.org/news/2013/10/23/community-mental-health-kennedy</w:t>
      </w:r>
    </w:p>
    <w:p w:rsidR="00000000" w:rsidDel="00000000" w:rsidP="00000000" w:rsidRDefault="00000000" w:rsidRPr="00000000" w14:paraId="00000055">
      <w:pPr>
        <w:rPr>
          <w:color w:val="ffffff"/>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1980s </w:t>
      </w:r>
    </w:p>
    <w:p w:rsidR="00000000" w:rsidDel="00000000" w:rsidP="00000000" w:rsidRDefault="00000000" w:rsidRPr="00000000" w14:paraId="00000057">
      <w:pPr>
        <w:rPr>
          <w:color w:val="1f1f1f"/>
          <w:highlight w:val="white"/>
        </w:rPr>
      </w:pPr>
      <w:r w:rsidDel="00000000" w:rsidR="00000000" w:rsidRPr="00000000">
        <w:rPr>
          <w:color w:val="1f1f1f"/>
          <w:highlight w:val="white"/>
          <w:rtl w:val="0"/>
        </w:rPr>
        <w:t xml:space="preserve">For the United Kingdom, the war cost 258 men, 6 ships (10 others suffered varying degrees of battle damage), 34 aircraft, and </w:t>
      </w:r>
      <w:r w:rsidDel="00000000" w:rsidR="00000000" w:rsidRPr="00000000">
        <w:rPr>
          <w:color w:val="040c28"/>
          <w:highlight w:val="white"/>
          <w:rtl w:val="0"/>
        </w:rPr>
        <w:t xml:space="preserve">£2.778 billion (£9.255 billion in 2018)</w:t>
      </w:r>
      <w:r w:rsidDel="00000000" w:rsidR="00000000" w:rsidRPr="00000000">
        <w:rPr>
          <w:color w:val="1f1f1f"/>
          <w:highlight w:val="white"/>
          <w:rtl w:val="0"/>
        </w:rPr>
        <w:t xml:space="preserve">, but the campaign was considered a great victory for the United Kingdom.</w:t>
      </w:r>
    </w:p>
    <w:p w:rsidR="00000000" w:rsidDel="00000000" w:rsidP="00000000" w:rsidRDefault="00000000" w:rsidRPr="00000000" w14:paraId="00000058">
      <w:pPr>
        <w:rPr>
          <w:color w:val="1f1f1f"/>
          <w:highlight w:val="white"/>
        </w:rPr>
      </w:pPr>
      <w:r w:rsidDel="00000000" w:rsidR="00000000" w:rsidRPr="00000000">
        <w:rPr>
          <w:color w:val="1f1f1f"/>
          <w:highlight w:val="white"/>
          <w:rtl w:val="0"/>
        </w:rPr>
        <w:t xml:space="preserve">Wikipedia</w:t>
      </w:r>
    </w:p>
    <w:p w:rsidR="00000000" w:rsidDel="00000000" w:rsidP="00000000" w:rsidRDefault="00000000" w:rsidRPr="00000000" w14:paraId="00000059">
      <w:pPr>
        <w:rPr>
          <w:color w:val="1f1f1f"/>
          <w:highlight w:val="white"/>
        </w:rPr>
      </w:pPr>
      <w:r w:rsidDel="00000000" w:rsidR="00000000" w:rsidRPr="00000000">
        <w:rPr>
          <w:rtl w:val="0"/>
        </w:rPr>
      </w:r>
    </w:p>
    <w:p w:rsidR="00000000" w:rsidDel="00000000" w:rsidP="00000000" w:rsidRDefault="00000000" w:rsidRPr="00000000" w14:paraId="0000005A">
      <w:pPr>
        <w:pStyle w:val="Heading3"/>
        <w:keepNext w:val="0"/>
        <w:keepLines w:val="0"/>
        <w:pBdr>
          <w:top w:color="000000" w:space="0" w:sz="0" w:val="none"/>
          <w:left w:color="000000" w:space="0" w:sz="0" w:val="none"/>
          <w:bottom w:color="000000" w:space="0" w:sz="0" w:val="none"/>
          <w:right w:color="000000" w:space="37" w:sz="0" w:val="none"/>
          <w:between w:color="000000" w:space="0" w:sz="0" w:val="none"/>
        </w:pBdr>
        <w:spacing w:after="0" w:before="0" w:line="432" w:lineRule="auto"/>
        <w:rPr>
          <w:b w:val="1"/>
          <w:color w:val="307fe2"/>
          <w:sz w:val="22"/>
          <w:szCs w:val="22"/>
          <w:highlight w:val="white"/>
        </w:rPr>
      </w:pPr>
      <w:bookmarkStart w:colFirst="0" w:colLast="0" w:name="_7jnd0l6m96gu" w:id="1"/>
      <w:bookmarkEnd w:id="1"/>
      <w:r w:rsidDel="00000000" w:rsidR="00000000" w:rsidRPr="00000000">
        <w:rPr>
          <w:rtl w:val="0"/>
        </w:rPr>
      </w:r>
    </w:p>
    <w:p w:rsidR="00000000" w:rsidDel="00000000" w:rsidP="00000000" w:rsidRDefault="00000000" w:rsidRPr="00000000" w14:paraId="0000005B">
      <w:pPr>
        <w:pStyle w:val="Heading3"/>
        <w:keepNext w:val="0"/>
        <w:keepLines w:val="0"/>
        <w:pBdr>
          <w:top w:color="000000" w:space="0" w:sz="0" w:val="none"/>
          <w:left w:color="000000" w:space="0" w:sz="0" w:val="none"/>
          <w:bottom w:color="000000" w:space="0" w:sz="0" w:val="none"/>
          <w:right w:color="000000" w:space="37" w:sz="0" w:val="none"/>
          <w:between w:color="000000" w:space="0" w:sz="0" w:val="none"/>
        </w:pBdr>
        <w:spacing w:after="0" w:before="0" w:line="432" w:lineRule="auto"/>
        <w:rPr>
          <w:b w:val="1"/>
          <w:color w:val="307fe2"/>
          <w:sz w:val="22"/>
          <w:szCs w:val="22"/>
          <w:highlight w:val="white"/>
        </w:rPr>
      </w:pPr>
      <w:bookmarkStart w:colFirst="0" w:colLast="0" w:name="_sw0dj82ee2hy" w:id="2"/>
      <w:bookmarkEnd w:id="2"/>
      <w:r w:rsidDel="00000000" w:rsidR="00000000" w:rsidRPr="00000000">
        <w:rPr>
          <w:rtl w:val="0"/>
        </w:rPr>
      </w:r>
    </w:p>
    <w:p w:rsidR="00000000" w:rsidDel="00000000" w:rsidP="00000000" w:rsidRDefault="00000000" w:rsidRPr="00000000" w14:paraId="0000005C">
      <w:pPr>
        <w:pStyle w:val="Heading3"/>
        <w:keepNext w:val="0"/>
        <w:keepLines w:val="0"/>
        <w:pBdr>
          <w:top w:color="000000" w:space="0" w:sz="0" w:val="none"/>
          <w:left w:color="000000" w:space="0" w:sz="0" w:val="none"/>
          <w:bottom w:color="000000" w:space="0" w:sz="0" w:val="none"/>
          <w:right w:color="000000" w:space="37" w:sz="0" w:val="none"/>
          <w:between w:color="000000" w:space="0" w:sz="0" w:val="none"/>
        </w:pBdr>
        <w:spacing w:after="0" w:before="0" w:line="432" w:lineRule="auto"/>
        <w:rPr>
          <w:b w:val="1"/>
          <w:color w:val="307fe2"/>
          <w:sz w:val="22"/>
          <w:szCs w:val="22"/>
          <w:highlight w:val="white"/>
        </w:rPr>
      </w:pPr>
      <w:bookmarkStart w:colFirst="0" w:colLast="0" w:name="_px71ki2chos0" w:id="3"/>
      <w:bookmarkEnd w:id="3"/>
      <w:r w:rsidDel="00000000" w:rsidR="00000000" w:rsidRPr="00000000">
        <w:rPr>
          <w:rtl w:val="0"/>
        </w:rPr>
      </w:r>
    </w:p>
    <w:p w:rsidR="00000000" w:rsidDel="00000000" w:rsidP="00000000" w:rsidRDefault="00000000" w:rsidRPr="00000000" w14:paraId="0000005D">
      <w:pPr>
        <w:pStyle w:val="Heading3"/>
        <w:keepNext w:val="0"/>
        <w:keepLines w:val="0"/>
        <w:pBdr>
          <w:top w:color="000000" w:space="0" w:sz="0" w:val="none"/>
          <w:left w:color="000000" w:space="0" w:sz="0" w:val="none"/>
          <w:bottom w:color="000000" w:space="0" w:sz="0" w:val="none"/>
          <w:right w:color="000000" w:space="37" w:sz="0" w:val="none"/>
          <w:between w:color="000000" w:space="0" w:sz="0" w:val="none"/>
        </w:pBdr>
        <w:spacing w:after="0" w:before="0" w:line="432" w:lineRule="auto"/>
        <w:rPr>
          <w:b w:val="1"/>
          <w:color w:val="307fe2"/>
          <w:sz w:val="22"/>
          <w:szCs w:val="22"/>
          <w:highlight w:val="white"/>
        </w:rPr>
      </w:pPr>
      <w:bookmarkStart w:colFirst="0" w:colLast="0" w:name="_7i4qciur8qf6" w:id="4"/>
      <w:bookmarkEnd w:id="4"/>
      <w:r w:rsidDel="00000000" w:rsidR="00000000" w:rsidRPr="00000000">
        <w:rPr>
          <w:b w:val="1"/>
          <w:color w:val="307fe2"/>
          <w:sz w:val="22"/>
          <w:szCs w:val="22"/>
          <w:highlight w:val="white"/>
          <w:rtl w:val="0"/>
        </w:rPr>
        <w:t xml:space="preserve">1980 Housing Act &amp; Right To Buy</w:t>
      </w:r>
    </w:p>
    <w:p w:rsidR="00000000" w:rsidDel="00000000" w:rsidP="00000000" w:rsidRDefault="00000000" w:rsidRPr="00000000" w14:paraId="0000005E">
      <w:pPr>
        <w:rPr>
          <w:b w:val="1"/>
          <w:color w:val="307fe2"/>
          <w:highlight w:val="white"/>
        </w:rPr>
      </w:pPr>
      <w:r w:rsidDel="00000000" w:rsidR="00000000" w:rsidRPr="00000000">
        <w:rPr>
          <w:rtl w:val="0"/>
        </w:rPr>
      </w:r>
    </w:p>
    <w:p w:rsidR="00000000" w:rsidDel="00000000" w:rsidP="00000000" w:rsidRDefault="00000000" w:rsidRPr="00000000" w14:paraId="0000005F">
      <w:pPr>
        <w:rPr>
          <w:color w:val="003da5"/>
          <w:highlight w:val="white"/>
        </w:rPr>
      </w:pPr>
      <w:r w:rsidDel="00000000" w:rsidR="00000000" w:rsidRPr="00000000">
        <w:rPr>
          <w:color w:val="003da5"/>
          <w:highlight w:val="white"/>
          <w:rtl w:val="0"/>
        </w:rPr>
        <w:t xml:space="preserve">In 1980, the new ‘Right to Buy’ scheme forced councils to sell some of their housing stock. The number of council houses sold overtook the number built. Tenants passing the RTB requirements bought many of the better-quality houses. Because of this, the number of available social housing properties began to fall.</w:t>
      </w:r>
    </w:p>
    <w:p w:rsidR="00000000" w:rsidDel="00000000" w:rsidP="00000000" w:rsidRDefault="00000000" w:rsidRPr="00000000" w14:paraId="00000060">
      <w:pPr>
        <w:pBdr>
          <w:top w:color="000000" w:space="0" w:sz="0" w:val="none"/>
          <w:left w:color="000000" w:space="0" w:sz="0" w:val="none"/>
          <w:bottom w:color="000000" w:space="12" w:sz="0" w:val="none"/>
          <w:right w:color="000000" w:space="0" w:sz="0" w:val="none"/>
        </w:pBdr>
        <w:rPr>
          <w:color w:val="003da5"/>
          <w:highlight w:val="white"/>
        </w:rPr>
      </w:pPr>
      <w:r w:rsidDel="00000000" w:rsidR="00000000" w:rsidRPr="00000000">
        <w:rPr>
          <w:color w:val="003da5"/>
          <w:highlight w:val="white"/>
          <w:rtl w:val="0"/>
        </w:rPr>
        <w:t xml:space="preserve">Within 10 years, councils and local authorities sold 1 million homes across the country. while the presiding government set strict limits on council spending. Funding was limited to smaller-scale projects, and this meant that no new housing schemes could be built.</w:t>
      </w:r>
    </w:p>
    <w:p w:rsidR="00000000" w:rsidDel="00000000" w:rsidP="00000000" w:rsidRDefault="00000000" w:rsidRPr="00000000" w14:paraId="00000061">
      <w:pPr>
        <w:rPr>
          <w:color w:val="1f1f1f"/>
          <w:highlight w:val="white"/>
        </w:rPr>
      </w:pPr>
      <w:r w:rsidDel="00000000" w:rsidR="00000000" w:rsidRPr="00000000">
        <w:rPr>
          <w:rtl w:val="0"/>
        </w:rPr>
      </w:r>
    </w:p>
    <w:p w:rsidR="00000000" w:rsidDel="00000000" w:rsidP="00000000" w:rsidRDefault="00000000" w:rsidRPr="00000000" w14:paraId="00000062">
      <w:pPr>
        <w:rPr>
          <w:color w:val="1f1f1f"/>
          <w:highlight w:val="white"/>
        </w:rPr>
      </w:pPr>
      <w:r w:rsidDel="00000000" w:rsidR="00000000" w:rsidRPr="00000000">
        <w:rPr>
          <w:rtl w:val="0"/>
        </w:rPr>
      </w:r>
    </w:p>
    <w:p w:rsidR="00000000" w:rsidDel="00000000" w:rsidP="00000000" w:rsidRDefault="00000000" w:rsidRPr="00000000" w14:paraId="00000063">
      <w:pPr>
        <w:rPr>
          <w:highlight w:val="white"/>
        </w:rPr>
      </w:pPr>
      <w:r w:rsidDel="00000000" w:rsidR="00000000" w:rsidRPr="00000000">
        <w:rPr>
          <w:sz w:val="21"/>
          <w:szCs w:val="21"/>
          <w:highlight w:val="white"/>
          <w:rtl w:val="0"/>
        </w:rPr>
        <w:t xml:space="preserve">20 Jul 2020 — </w:t>
      </w:r>
      <w:r w:rsidDel="00000000" w:rsidR="00000000" w:rsidRPr="00000000">
        <w:rPr>
          <w:b w:val="1"/>
          <w:sz w:val="21"/>
          <w:szCs w:val="21"/>
          <w:highlight w:val="white"/>
          <w:rtl w:val="0"/>
        </w:rPr>
        <w:t xml:space="preserve">Social housing</w:t>
      </w:r>
      <w:r w:rsidDel="00000000" w:rsidR="00000000" w:rsidRPr="00000000">
        <w:rPr>
          <w:sz w:val="21"/>
          <w:szCs w:val="21"/>
          <w:highlight w:val="white"/>
          <w:rtl w:val="0"/>
        </w:rPr>
        <w:t xml:space="preserve"> stock peaked in England in </w:t>
      </w:r>
      <w:r w:rsidDel="00000000" w:rsidR="00000000" w:rsidRPr="00000000">
        <w:rPr>
          <w:b w:val="1"/>
          <w:sz w:val="21"/>
          <w:szCs w:val="21"/>
          <w:highlight w:val="white"/>
          <w:rtl w:val="0"/>
        </w:rPr>
        <w:t xml:space="preserve">1981</w:t>
      </w:r>
      <w:r w:rsidDel="00000000" w:rsidR="00000000" w:rsidRPr="00000000">
        <w:rPr>
          <w:sz w:val="21"/>
          <w:szCs w:val="21"/>
          <w:highlight w:val="white"/>
          <w:rtl w:val="0"/>
        </w:rPr>
        <w:t xml:space="preserve"> at 5.49 million homes.25 As of 1 April 2019, the number stands at 4.13 million</w:t>
      </w:r>
      <w:r w:rsidDel="00000000" w:rsidR="00000000" w:rsidRPr="00000000">
        <w:rPr>
          <w:rtl w:val="0"/>
        </w:rPr>
      </w:r>
    </w:p>
    <w:p w:rsidR="00000000" w:rsidDel="00000000" w:rsidP="00000000" w:rsidRDefault="00000000" w:rsidRPr="00000000" w14:paraId="00000064">
      <w:pPr>
        <w:rPr/>
      </w:pPr>
      <w:r w:rsidDel="00000000" w:rsidR="00000000" w:rsidRPr="00000000">
        <w:rPr>
          <w:shd w:fill="d3e3fd" w:val="clear"/>
          <w:rtl w:val="0"/>
        </w:rPr>
        <w:t xml:space="preserve">insufficient social housebuilding</w:t>
      </w:r>
      <w:r w:rsidDel="00000000" w:rsidR="00000000" w:rsidRPr="00000000">
        <w:rPr>
          <w:highlight w:val="white"/>
          <w:rtl w:val="0"/>
        </w:rPr>
        <w:t xml:space="preserve"> plus too many homes being sold or demolished means there's been a net loss of social housing nearly every year since 1981.</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Reagan and Thatcher Care in the Community</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i w:val="1"/>
          <w:color w:val="1f1f1f"/>
        </w:rPr>
      </w:pPr>
      <w:r w:rsidDel="00000000" w:rsidR="00000000" w:rsidRPr="00000000">
        <w:rPr>
          <w:i w:val="1"/>
          <w:color w:val="43423e"/>
          <w:sz w:val="24"/>
          <w:szCs w:val="24"/>
          <w:rtl w:val="0"/>
        </w:rPr>
        <w:t xml:space="preserve">.</w:t>
      </w:r>
      <w:r w:rsidDel="00000000" w:rsidR="00000000" w:rsidRPr="00000000">
        <w:rPr>
          <w:i w:val="1"/>
          <w:color w:val="1f1f1f"/>
          <w:rtl w:val="0"/>
        </w:rPr>
        <w:t xml:space="preserve">What did the Community Care Act 1990 do?</w:t>
      </w:r>
    </w:p>
    <w:p w:rsidR="00000000" w:rsidDel="00000000" w:rsidP="00000000" w:rsidRDefault="00000000" w:rsidRPr="00000000" w14:paraId="0000006A">
      <w:pPr>
        <w:shd w:fill="ffffff" w:val="clear"/>
        <w:spacing w:after="180" w:before="180" w:lineRule="auto"/>
        <w:rPr>
          <w:i w:val="1"/>
          <w:color w:val="43423e"/>
        </w:rPr>
      </w:pPr>
      <w:r w:rsidDel="00000000" w:rsidR="00000000" w:rsidRPr="00000000">
        <w:rPr>
          <w:i w:val="1"/>
          <w:color w:val="43423e"/>
          <w:rtl w:val="0"/>
        </w:rPr>
        <w:t xml:space="preserve">Purchaser/provider split</w:t>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i w:val="1"/>
          <w:color w:val="43423e"/>
        </w:rPr>
      </w:pPr>
      <w:r w:rsidDel="00000000" w:rsidR="00000000" w:rsidRPr="00000000">
        <w:rPr>
          <w:i w:val="1"/>
          <w:color w:val="43423e"/>
          <w:rtl w:val="0"/>
        </w:rPr>
        <w:t xml:space="preserve">The National Health Service and Community Care Act 1990 received royal assent on 29 June 1990. The Act made provisions to split the provision and commissioning (ie purchasing) of healthcare.</w:t>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i w:val="1"/>
          <w:color w:val="1f1f1f"/>
        </w:rPr>
      </w:pPr>
      <w:r w:rsidDel="00000000" w:rsidR="00000000" w:rsidRPr="00000000">
        <w:rPr>
          <w:i w:val="1"/>
          <w:color w:val="43423e"/>
          <w:rtl w:val="0"/>
        </w:rPr>
        <w:t xml:space="preserve">It marked the start of an internal market within the NHS, with the creation of NHS trusts and changes to how local </w:t>
      </w:r>
      <w:r w:rsidDel="00000000" w:rsidR="00000000" w:rsidRPr="00000000">
        <w:rPr>
          <w:i w:val="1"/>
          <w:color w:val="43423e"/>
          <w:sz w:val="24"/>
          <w:szCs w:val="24"/>
          <w:rtl w:val="0"/>
        </w:rPr>
        <w:t xml:space="preserve">authorities carried out their social care functions. These proposals had been outlined in the Department of Health white paper Working for Patients in January 1989</w:t>
      </w:r>
      <w:r w:rsidDel="00000000" w:rsidR="00000000" w:rsidRPr="00000000">
        <w:rPr>
          <w:rtl w:val="0"/>
        </w:rPr>
      </w:r>
    </w:p>
    <w:p w:rsidR="00000000" w:rsidDel="00000000" w:rsidP="00000000" w:rsidRDefault="00000000" w:rsidRPr="00000000" w14:paraId="0000006D">
      <w:pPr>
        <w:shd w:fill="ffffff" w:val="clear"/>
        <w:rPr>
          <w:color w:val="1f1f1f"/>
        </w:rPr>
      </w:pPr>
      <w:r w:rsidDel="00000000" w:rsidR="00000000" w:rsidRPr="00000000">
        <w:rPr>
          <w:rtl w:val="0"/>
        </w:rPr>
      </w:r>
    </w:p>
    <w:p w:rsidR="00000000" w:rsidDel="00000000" w:rsidP="00000000" w:rsidRDefault="00000000" w:rsidRPr="00000000" w14:paraId="0000006E">
      <w:pPr>
        <w:shd w:fill="ffffff" w:val="clear"/>
        <w:rPr>
          <w:color w:val="1f1f1f"/>
        </w:rPr>
      </w:pPr>
      <w:r w:rsidDel="00000000" w:rsidR="00000000" w:rsidRPr="00000000">
        <w:rPr>
          <w:color w:val="1f1f1f"/>
          <w:rtl w:val="0"/>
        </w:rPr>
        <w:t xml:space="preserve">https://navigator.health.org.uk/theme/national-health-service-and-community-care-act-1990#:~:text=The%20Act%20made%20provisions%20to%20split%20the,authorities%20carried%20out%20their%20social%20care%20functions.</w:t>
      </w:r>
    </w:p>
    <w:p w:rsidR="00000000" w:rsidDel="00000000" w:rsidP="00000000" w:rsidRDefault="00000000" w:rsidRPr="00000000" w14:paraId="0000006F">
      <w:pPr>
        <w:shd w:fill="ffffff" w:val="clear"/>
        <w:rPr>
          <w:color w:val="1f1f1f"/>
        </w:rPr>
      </w:pPr>
      <w:r w:rsidDel="00000000" w:rsidR="00000000" w:rsidRPr="00000000">
        <w:rPr>
          <w:rtl w:val="0"/>
        </w:rPr>
      </w:r>
    </w:p>
    <w:p w:rsidR="00000000" w:rsidDel="00000000" w:rsidP="00000000" w:rsidRDefault="00000000" w:rsidRPr="00000000" w14:paraId="00000070">
      <w:pPr>
        <w:shd w:fill="ffffff" w:val="clear"/>
        <w:rPr>
          <w:color w:val="040c28"/>
        </w:rPr>
      </w:pPr>
      <w:r w:rsidDel="00000000" w:rsidR="00000000" w:rsidRPr="00000000">
        <w:rPr>
          <w:color w:val="1f1f1f"/>
          <w:rtl w:val="0"/>
        </w:rPr>
        <w:t xml:space="preserve">HMP Whitemoor opened in </w:t>
      </w:r>
      <w:r w:rsidDel="00000000" w:rsidR="00000000" w:rsidRPr="00000000">
        <w:rPr>
          <w:color w:val="040c28"/>
          <w:rtl w:val="0"/>
        </w:rPr>
        <w:t xml:space="preserve">1991</w:t>
      </w:r>
    </w:p>
    <w:p w:rsidR="00000000" w:rsidDel="00000000" w:rsidP="00000000" w:rsidRDefault="00000000" w:rsidRPr="00000000" w14:paraId="00000071">
      <w:pPr>
        <w:shd w:fill="ffffff" w:val="clear"/>
        <w:rPr>
          <w:color w:val="1f1f1f"/>
          <w:highlight w:val="white"/>
        </w:rPr>
      </w:pPr>
      <w:r w:rsidDel="00000000" w:rsidR="00000000" w:rsidRPr="00000000">
        <w:rPr>
          <w:color w:val="1f1f1f"/>
          <w:highlight w:val="white"/>
          <w:rtl w:val="0"/>
        </w:rPr>
        <w:t xml:space="preserve">part of the high-security estate. The main establishment now supports two regimes: a mainstream prisoner population and a population with personality disorders.</w:t>
      </w:r>
    </w:p>
    <w:p w:rsidR="00000000" w:rsidDel="00000000" w:rsidP="00000000" w:rsidRDefault="00000000" w:rsidRPr="00000000" w14:paraId="00000072">
      <w:pPr>
        <w:shd w:fill="ffffff" w:val="clear"/>
        <w:rPr>
          <w:color w:val="1f1f1f"/>
          <w:highlight w:val="white"/>
        </w:rPr>
      </w:pPr>
      <w:r w:rsidDel="00000000" w:rsidR="00000000" w:rsidRPr="00000000">
        <w:rPr>
          <w:rtl w:val="0"/>
        </w:rPr>
      </w:r>
    </w:p>
    <w:p w:rsidR="00000000" w:rsidDel="00000000" w:rsidP="00000000" w:rsidRDefault="00000000" w:rsidRPr="00000000" w14:paraId="00000073">
      <w:pPr>
        <w:shd w:fill="ffffff" w:val="clear"/>
        <w:rPr>
          <w:b w:val="1"/>
          <w:color w:val="1f1f1f"/>
          <w:highlight w:val="white"/>
        </w:rPr>
      </w:pPr>
      <w:r w:rsidDel="00000000" w:rsidR="00000000" w:rsidRPr="00000000">
        <w:rPr>
          <w:b w:val="1"/>
          <w:color w:val="1f1f1f"/>
          <w:highlight w:val="white"/>
          <w:rtl w:val="0"/>
        </w:rPr>
        <w:t xml:space="preserve">WARS IN PEACE British Military Operations since 1991</w:t>
      </w:r>
    </w:p>
    <w:p w:rsidR="00000000" w:rsidDel="00000000" w:rsidP="00000000" w:rsidRDefault="00000000" w:rsidRPr="00000000" w14:paraId="00000074">
      <w:pPr>
        <w:shd w:fill="ffffff" w:val="clear"/>
        <w:rPr>
          <w:color w:val="1f1f1f"/>
          <w:highlight w:val="white"/>
        </w:rPr>
      </w:pPr>
      <w:r w:rsidDel="00000000" w:rsidR="00000000" w:rsidRPr="00000000">
        <w:rPr>
          <w:rtl w:val="0"/>
        </w:rPr>
      </w:r>
    </w:p>
    <w:p w:rsidR="00000000" w:rsidDel="00000000" w:rsidP="00000000" w:rsidRDefault="00000000" w:rsidRPr="00000000" w14:paraId="00000075">
      <w:pPr>
        <w:shd w:fill="ffffff" w:val="clear"/>
        <w:rPr>
          <w:color w:val="1f1f1f"/>
          <w:highlight w:val="white"/>
        </w:rPr>
      </w:pPr>
      <w:r w:rsidDel="00000000" w:rsidR="00000000" w:rsidRPr="00000000">
        <w:rPr>
          <w:color w:val="1f1f1f"/>
          <w:highlight w:val="white"/>
          <w:rtl w:val="0"/>
        </w:rPr>
        <w:t xml:space="preserve">Even with the post-Cold War peace dividend, the UK remained in the top tier of defence spending. According to SIPRI figures,3 in 1991, the UK had the fourth-largest defence budget ($49.9 billion)</w:t>
      </w:r>
    </w:p>
    <w:p w:rsidR="00000000" w:rsidDel="00000000" w:rsidP="00000000" w:rsidRDefault="00000000" w:rsidRPr="00000000" w14:paraId="00000076">
      <w:pPr>
        <w:shd w:fill="ffffff" w:val="clear"/>
        <w:rPr>
          <w:color w:val="1f1f1f"/>
          <w:highlight w:val="white"/>
        </w:rPr>
      </w:pPr>
      <w:r w:rsidDel="00000000" w:rsidR="00000000" w:rsidRPr="00000000">
        <w:rPr>
          <w:rtl w:val="0"/>
        </w:rPr>
      </w:r>
    </w:p>
    <w:p w:rsidR="00000000" w:rsidDel="00000000" w:rsidP="00000000" w:rsidRDefault="00000000" w:rsidRPr="00000000" w14:paraId="00000077">
      <w:pPr>
        <w:shd w:fill="ffffff" w:val="clear"/>
        <w:rPr>
          <w:color w:val="1f1f1f"/>
          <w:highlight w:val="white"/>
        </w:rPr>
      </w:pPr>
      <w:r w:rsidDel="00000000" w:rsidR="00000000" w:rsidRPr="00000000">
        <w:rPr>
          <w:color w:val="1f1f1f"/>
          <w:highlight w:val="white"/>
          <w:rtl w:val="0"/>
        </w:rPr>
        <w:t xml:space="preserve"> In particular, since 1997 the UK’s spending on overseas development assistance, as measured by OECD criteria, has overtaken that of Germany and France, making it the biggest donor state after the US, due to an increase from $4.56 billion in 1991 to $13.76 billion in 2012 (in 2011 dollars), a proportion of just under 0.6 per cent of GNI.2 Added to this is the diplomatic clout provided by a permanent seat on the UN Security Council. And, with this wealth, the UK has chosen to invest in military capability. Even with the post-Cold War peace dividend, the UK remained in the top tier of defence spending.</w:t>
      </w:r>
    </w:p>
    <w:p w:rsidR="00000000" w:rsidDel="00000000" w:rsidP="00000000" w:rsidRDefault="00000000" w:rsidRPr="00000000" w14:paraId="00000078">
      <w:pPr>
        <w:shd w:fill="ffffff" w:val="clear"/>
        <w:rPr>
          <w:color w:val="1f1f1f"/>
          <w:highlight w:val="white"/>
        </w:rPr>
      </w:pPr>
      <w:r w:rsidDel="00000000" w:rsidR="00000000" w:rsidRPr="00000000">
        <w:rPr>
          <w:rtl w:val="0"/>
        </w:rPr>
      </w:r>
    </w:p>
    <w:p w:rsidR="00000000" w:rsidDel="00000000" w:rsidP="00000000" w:rsidRDefault="00000000" w:rsidRPr="00000000" w14:paraId="00000079">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160" w:before="0" w:line="288" w:lineRule="auto"/>
        <w:ind w:left="360" w:right="360" w:firstLine="0"/>
        <w:rPr>
          <w:b w:val="1"/>
          <w:color w:val="202427"/>
          <w:sz w:val="22"/>
          <w:szCs w:val="22"/>
          <w:highlight w:val="white"/>
        </w:rPr>
      </w:pPr>
      <w:bookmarkStart w:colFirst="0" w:colLast="0" w:name="_h6b5me85reme" w:id="5"/>
      <w:bookmarkEnd w:id="5"/>
      <w:r w:rsidDel="00000000" w:rsidR="00000000" w:rsidRPr="00000000">
        <w:rPr>
          <w:b w:val="1"/>
          <w:color w:val="202427"/>
          <w:sz w:val="22"/>
          <w:szCs w:val="22"/>
          <w:highlight w:val="white"/>
          <w:rtl w:val="0"/>
        </w:rPr>
        <w:t xml:space="preserve">Biden and Starmer delay the decision to approve long-range strikes inside Russia</w:t>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fffff" w:val="clear"/>
        <w:spacing w:after="240" w:line="360" w:lineRule="auto"/>
        <w:ind w:left="360" w:right="360" w:firstLine="0"/>
        <w:rPr>
          <w:highlight w:val="white"/>
        </w:rPr>
      </w:pPr>
      <w:r w:rsidDel="00000000" w:rsidR="00000000" w:rsidRPr="00000000">
        <w:rPr>
          <w:highlight w:val="white"/>
          <w:rtl w:val="0"/>
        </w:rPr>
        <w:t xml:space="preserve">US President Joe Biden and British Prime Minister Keir Starmer postponed a decision on allowing Ukraine to use long-range Western-supplied missiles to strike inside Russia following a meeting at the White House on Friday.</w:t>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hd w:fill="ffffff" w:val="clear"/>
        <w:spacing w:after="240" w:line="360" w:lineRule="auto"/>
        <w:ind w:left="360" w:right="360" w:firstLine="0"/>
        <w:rPr>
          <w:color w:val="1f1f1f"/>
          <w:highlight w:val="white"/>
        </w:rPr>
      </w:pPr>
      <w:r w:rsidDel="00000000" w:rsidR="00000000" w:rsidRPr="00000000">
        <w:rPr>
          <w:rFonts w:ascii="Roboto" w:cs="Roboto" w:eastAsia="Roboto" w:hAnsi="Roboto"/>
          <w:sz w:val="23"/>
          <w:szCs w:val="23"/>
          <w:highlight w:val="white"/>
          <w:rtl w:val="0"/>
        </w:rPr>
        <w:t xml:space="preserve">Issued on: 13/09/2024 </w:t>
      </w:r>
      <w:r w:rsidDel="00000000" w:rsidR="00000000" w:rsidRPr="00000000">
        <w:rPr>
          <w:rtl w:val="0"/>
        </w:rPr>
      </w:r>
    </w:p>
    <w:p w:rsidR="00000000" w:rsidDel="00000000" w:rsidP="00000000" w:rsidRDefault="00000000" w:rsidRPr="00000000" w14:paraId="0000007C">
      <w:pPr>
        <w:shd w:fill="ffffff" w:val="clear"/>
        <w:rPr>
          <w:color w:val="1f1f1f"/>
          <w:highlight w:val="white"/>
        </w:rPr>
      </w:pPr>
      <w:r w:rsidDel="00000000" w:rsidR="00000000" w:rsidRPr="00000000">
        <w:rPr>
          <w:rtl w:val="0"/>
        </w:rPr>
      </w:r>
    </w:p>
    <w:p w:rsidR="00000000" w:rsidDel="00000000" w:rsidP="00000000" w:rsidRDefault="00000000" w:rsidRPr="00000000" w14:paraId="0000007D">
      <w:pPr>
        <w:shd w:fill="ffffff" w:val="clear"/>
        <w:rPr>
          <w:color w:val="1f1f1f"/>
          <w:highlight w:val="white"/>
        </w:rPr>
      </w:pPr>
      <w:r w:rsidDel="00000000" w:rsidR="00000000" w:rsidRPr="00000000">
        <w:rPr>
          <w:color w:val="1f1f1f"/>
          <w:highlight w:val="white"/>
          <w:rtl w:val="0"/>
        </w:rPr>
        <w:t xml:space="preserve">PFI expanded considerably in 1996 and then expanded much further under Labour with the NHS (Private Finance) Act 1997, resulting in criticism from many trade unions</w:t>
      </w:r>
    </w:p>
    <w:p w:rsidR="00000000" w:rsidDel="00000000" w:rsidP="00000000" w:rsidRDefault="00000000" w:rsidRPr="00000000" w14:paraId="0000007E">
      <w:pPr>
        <w:shd w:fill="ffffff" w:val="clear"/>
        <w:rPr>
          <w:color w:val="1f1f1f"/>
          <w:highlight w:val="white"/>
        </w:rPr>
      </w:pPr>
      <w:r w:rsidDel="00000000" w:rsidR="00000000" w:rsidRPr="00000000">
        <w:rPr>
          <w:rtl w:val="0"/>
        </w:rPr>
      </w:r>
    </w:p>
    <w:p w:rsidR="00000000" w:rsidDel="00000000" w:rsidP="00000000" w:rsidRDefault="00000000" w:rsidRPr="00000000" w14:paraId="0000007F">
      <w:pPr>
        <w:shd w:fill="ffffff" w:val="clear"/>
        <w:spacing w:line="392.72727272727275" w:lineRule="auto"/>
        <w:rPr>
          <w:color w:val="040c28"/>
          <w:shd w:fill="d3e3fd" w:val="clear"/>
        </w:rPr>
      </w:pPr>
      <w:r w:rsidDel="00000000" w:rsidR="00000000" w:rsidRPr="00000000">
        <w:rPr>
          <w:color w:val="040c28"/>
          <w:shd w:fill="d3e3fd" w:val="clear"/>
          <w:rtl w:val="0"/>
        </w:rPr>
        <w:t xml:space="preserve">Proper maintenance was a big attraction of PFI</w:t>
      </w:r>
    </w:p>
    <w:p w:rsidR="00000000" w:rsidDel="00000000" w:rsidP="00000000" w:rsidRDefault="00000000" w:rsidRPr="00000000" w14:paraId="00000080">
      <w:pPr>
        <w:shd w:fill="ffffff" w:val="clear"/>
        <w:spacing w:line="392.72727272727275" w:lineRule="auto"/>
        <w:rPr>
          <w:color w:val="1f1f1f"/>
          <w:highlight w:val="white"/>
        </w:rPr>
      </w:pPr>
      <w:r w:rsidDel="00000000" w:rsidR="00000000" w:rsidRPr="00000000">
        <w:rPr>
          <w:rtl w:val="0"/>
        </w:rPr>
      </w:r>
    </w:p>
    <w:p w:rsidR="00000000" w:rsidDel="00000000" w:rsidP="00000000" w:rsidRDefault="00000000" w:rsidRPr="00000000" w14:paraId="00000081">
      <w:pPr>
        <w:shd w:fill="ffffff" w:val="clear"/>
        <w:rPr>
          <w:color w:val="1f1f1f"/>
          <w:highlight w:val="white"/>
        </w:rPr>
      </w:pPr>
      <w:r w:rsidDel="00000000" w:rsidR="00000000" w:rsidRPr="00000000">
        <w:rPr>
          <w:color w:val="1f1f1f"/>
          <w:highlight w:val="white"/>
          <w:rtl w:val="0"/>
        </w:rPr>
        <w:t xml:space="preserve">This has led to a bill for backlog maintenance in the public sector of at least £37bn. Some £10bn of that is in the NHS. As a result, areas involving patient treatment are being closed 'all the time', NHS England told MPs recently.16 Feb 2024</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Night shelters and HMOs are all multiple-occupancy</w:t>
      </w:r>
    </w:p>
    <w:p w:rsidR="00000000" w:rsidDel="00000000" w:rsidP="00000000" w:rsidRDefault="00000000" w:rsidRPr="00000000" w14:paraId="00000084">
      <w:pPr>
        <w:rPr/>
      </w:pPr>
      <w:r w:rsidDel="00000000" w:rsidR="00000000" w:rsidRPr="00000000">
        <w:rPr>
          <w:rtl w:val="0"/>
        </w:rPr>
        <w:t xml:space="preserve">Cuts to mental health services { lack of care }</w:t>
      </w:r>
    </w:p>
    <w:p w:rsidR="00000000" w:rsidDel="00000000" w:rsidP="00000000" w:rsidRDefault="00000000" w:rsidRPr="00000000" w14:paraId="00000085">
      <w:pPr>
        <w:rPr/>
      </w:pPr>
      <w:r w:rsidDel="00000000" w:rsidR="00000000" w:rsidRPr="00000000">
        <w:rPr>
          <w:rtl w:val="0"/>
        </w:rPr>
        <w:t xml:space="preserve">Right to buy [Community divided]</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color w:val="202122"/>
          <w:highlight w:val="white"/>
        </w:rPr>
      </w:pPr>
      <w:r w:rsidDel="00000000" w:rsidR="00000000" w:rsidRPr="00000000">
        <w:rPr>
          <w:color w:val="202122"/>
          <w:highlight w:val="white"/>
          <w:rtl w:val="0"/>
        </w:rPr>
        <w:t xml:space="preserve">The </w:t>
      </w:r>
      <w:r w:rsidDel="00000000" w:rsidR="00000000" w:rsidRPr="00000000">
        <w:rPr>
          <w:b w:val="1"/>
          <w:color w:val="202122"/>
          <w:highlight w:val="white"/>
          <w:rtl w:val="0"/>
        </w:rPr>
        <w:t xml:space="preserve">2007–2008 financial crisis</w:t>
      </w:r>
      <w:r w:rsidDel="00000000" w:rsidR="00000000" w:rsidRPr="00000000">
        <w:rPr>
          <w:color w:val="202122"/>
          <w:highlight w:val="white"/>
          <w:rtl w:val="0"/>
        </w:rPr>
        <w:t xml:space="preserve">, or the </w:t>
      </w:r>
      <w:r w:rsidDel="00000000" w:rsidR="00000000" w:rsidRPr="00000000">
        <w:rPr>
          <w:b w:val="1"/>
          <w:color w:val="202122"/>
          <w:highlight w:val="white"/>
          <w:rtl w:val="0"/>
        </w:rPr>
        <w:t xml:space="preserve">global financial crisis</w:t>
      </w:r>
      <w:r w:rsidDel="00000000" w:rsidR="00000000" w:rsidRPr="00000000">
        <w:rPr>
          <w:color w:val="202122"/>
          <w:highlight w:val="white"/>
          <w:rtl w:val="0"/>
        </w:rPr>
        <w:t xml:space="preserve"> (</w:t>
      </w:r>
      <w:r w:rsidDel="00000000" w:rsidR="00000000" w:rsidRPr="00000000">
        <w:rPr>
          <w:b w:val="1"/>
          <w:color w:val="202122"/>
          <w:highlight w:val="white"/>
          <w:rtl w:val="0"/>
        </w:rPr>
        <w:t xml:space="preserve">GFC</w:t>
      </w:r>
      <w:r w:rsidDel="00000000" w:rsidR="00000000" w:rsidRPr="00000000">
        <w:rPr>
          <w:color w:val="202122"/>
          <w:highlight w:val="white"/>
          <w:rtl w:val="0"/>
        </w:rPr>
        <w:t xml:space="preserve">), was the most severe worldwide </w:t>
      </w:r>
      <w:hyperlink r:id="rId16">
        <w:r w:rsidDel="00000000" w:rsidR="00000000" w:rsidRPr="00000000">
          <w:rPr>
            <w:color w:val="1155cc"/>
            <w:highlight w:val="white"/>
            <w:rtl w:val="0"/>
          </w:rPr>
          <w:t xml:space="preserve">economic crisis</w:t>
        </w:r>
      </w:hyperlink>
      <w:r w:rsidDel="00000000" w:rsidR="00000000" w:rsidRPr="00000000">
        <w:rPr>
          <w:color w:val="202122"/>
          <w:highlight w:val="white"/>
          <w:rtl w:val="0"/>
        </w:rPr>
        <w:t xml:space="preserve"> since the </w:t>
      </w:r>
      <w:hyperlink r:id="rId17">
        <w:r w:rsidDel="00000000" w:rsidR="00000000" w:rsidRPr="00000000">
          <w:rPr>
            <w:color w:val="1155cc"/>
            <w:highlight w:val="white"/>
            <w:rtl w:val="0"/>
          </w:rPr>
          <w:t xml:space="preserve">Great Depression</w:t>
        </w:r>
      </w:hyperlink>
      <w:r w:rsidDel="00000000" w:rsidR="00000000" w:rsidRPr="00000000">
        <w:rPr>
          <w:color w:val="202122"/>
          <w:highlight w:val="white"/>
          <w:rtl w:val="0"/>
        </w:rPr>
        <w:t xml:space="preserve">. </w:t>
      </w:r>
      <w:hyperlink r:id="rId18">
        <w:r w:rsidDel="00000000" w:rsidR="00000000" w:rsidRPr="00000000">
          <w:rPr>
            <w:color w:val="1155cc"/>
            <w:highlight w:val="white"/>
            <w:rtl w:val="0"/>
          </w:rPr>
          <w:t xml:space="preserve">Predatory lending</w:t>
        </w:r>
      </w:hyperlink>
      <w:r w:rsidDel="00000000" w:rsidR="00000000" w:rsidRPr="00000000">
        <w:rPr>
          <w:color w:val="202122"/>
          <w:highlight w:val="white"/>
          <w:rtl w:val="0"/>
        </w:rPr>
        <w:t xml:space="preserve"> in the form of </w:t>
      </w:r>
      <w:hyperlink r:id="rId19">
        <w:r w:rsidDel="00000000" w:rsidR="00000000" w:rsidRPr="00000000">
          <w:rPr>
            <w:color w:val="1155cc"/>
            <w:highlight w:val="white"/>
            <w:rtl w:val="0"/>
          </w:rPr>
          <w:t xml:space="preserve">subprime mortgages</w:t>
        </w:r>
      </w:hyperlink>
      <w:r w:rsidDel="00000000" w:rsidR="00000000" w:rsidRPr="00000000">
        <w:rPr>
          <w:color w:val="202122"/>
          <w:highlight w:val="white"/>
          <w:rtl w:val="0"/>
        </w:rPr>
        <w:t xml:space="preserve"> targeting low-income homebuyers,</w:t>
      </w:r>
      <w:hyperlink r:id="rId20">
        <w:r w:rsidDel="00000000" w:rsidR="00000000" w:rsidRPr="00000000">
          <w:rPr>
            <w:color w:val="1155cc"/>
            <w:highlight w:val="white"/>
            <w:vertAlign w:val="superscript"/>
            <w:rtl w:val="0"/>
          </w:rPr>
          <w:t xml:space="preserve">[1]</w:t>
        </w:r>
      </w:hyperlink>
      <w:r w:rsidDel="00000000" w:rsidR="00000000" w:rsidRPr="00000000">
        <w:rPr>
          <w:color w:val="202122"/>
          <w:highlight w:val="white"/>
          <w:rtl w:val="0"/>
        </w:rPr>
        <w:t xml:space="preserve"> excessive risk-taking by global </w:t>
      </w:r>
      <w:hyperlink r:id="rId21">
        <w:r w:rsidDel="00000000" w:rsidR="00000000" w:rsidRPr="00000000">
          <w:rPr>
            <w:color w:val="1155cc"/>
            <w:highlight w:val="white"/>
            <w:rtl w:val="0"/>
          </w:rPr>
          <w:t xml:space="preserve">financial institutions</w:t>
        </w:r>
      </w:hyperlink>
      <w:r w:rsidDel="00000000" w:rsidR="00000000" w:rsidRPr="00000000">
        <w:rPr>
          <w:color w:val="202122"/>
          <w:highlight w:val="white"/>
          <w:rtl w:val="0"/>
        </w:rPr>
        <w:t xml:space="preserve">,</w:t>
      </w:r>
      <w:hyperlink r:id="rId22">
        <w:r w:rsidDel="00000000" w:rsidR="00000000" w:rsidRPr="00000000">
          <w:rPr>
            <w:color w:val="1155cc"/>
            <w:highlight w:val="white"/>
            <w:vertAlign w:val="superscript"/>
            <w:rtl w:val="0"/>
          </w:rPr>
          <w:t xml:space="preserve">[2]</w:t>
        </w:r>
      </w:hyperlink>
      <w:r w:rsidDel="00000000" w:rsidR="00000000" w:rsidRPr="00000000">
        <w:rPr>
          <w:color w:val="202122"/>
          <w:highlight w:val="white"/>
          <w:rtl w:val="0"/>
        </w:rPr>
        <w:t xml:space="preserve"> a continuous buildup of </w:t>
      </w:r>
      <w:hyperlink r:id="rId23">
        <w:r w:rsidDel="00000000" w:rsidR="00000000" w:rsidRPr="00000000">
          <w:rPr>
            <w:color w:val="1155cc"/>
            <w:highlight w:val="white"/>
            <w:rtl w:val="0"/>
          </w:rPr>
          <w:t xml:space="preserve">toxic assets</w:t>
        </w:r>
      </w:hyperlink>
      <w:r w:rsidDel="00000000" w:rsidR="00000000" w:rsidRPr="00000000">
        <w:rPr>
          <w:color w:val="202122"/>
          <w:highlight w:val="white"/>
          <w:rtl w:val="0"/>
        </w:rPr>
        <w:t xml:space="preserve"> within banks, and the bursting of the </w:t>
      </w:r>
      <w:hyperlink r:id="rId24">
        <w:r w:rsidDel="00000000" w:rsidR="00000000" w:rsidRPr="00000000">
          <w:rPr>
            <w:color w:val="1155cc"/>
            <w:highlight w:val="white"/>
            <w:rtl w:val="0"/>
          </w:rPr>
          <w:t xml:space="preserve">United States housing bubble</w:t>
        </w:r>
      </w:hyperlink>
      <w:r w:rsidDel="00000000" w:rsidR="00000000" w:rsidRPr="00000000">
        <w:rPr>
          <w:color w:val="202122"/>
          <w:highlight w:val="white"/>
          <w:rtl w:val="0"/>
        </w:rPr>
        <w:t xml:space="preserve"> culminated in a "</w:t>
      </w:r>
      <w:hyperlink r:id="rId25">
        <w:r w:rsidDel="00000000" w:rsidR="00000000" w:rsidRPr="00000000">
          <w:rPr>
            <w:color w:val="1155cc"/>
            <w:highlight w:val="white"/>
            <w:rtl w:val="0"/>
          </w:rPr>
          <w:t xml:space="preserve">perfect storm</w:t>
        </w:r>
      </w:hyperlink>
      <w:r w:rsidDel="00000000" w:rsidR="00000000" w:rsidRPr="00000000">
        <w:rPr>
          <w:color w:val="202122"/>
          <w:highlight w:val="white"/>
          <w:rtl w:val="0"/>
        </w:rPr>
        <w:t xml:space="preserve">", which led to the </w:t>
      </w:r>
      <w:hyperlink r:id="rId26">
        <w:r w:rsidDel="00000000" w:rsidR="00000000" w:rsidRPr="00000000">
          <w:rPr>
            <w:color w:val="1155cc"/>
            <w:highlight w:val="white"/>
            <w:rtl w:val="0"/>
          </w:rPr>
          <w:t xml:space="preserve">Great Recession</w:t>
        </w:r>
      </w:hyperlink>
      <w:r w:rsidDel="00000000" w:rsidR="00000000" w:rsidRPr="00000000">
        <w:rPr>
          <w:color w:val="202122"/>
          <w:highlight w:val="white"/>
          <w:rtl w:val="0"/>
        </w:rPr>
        <w:t xml:space="preserve">.</w:t>
      </w:r>
    </w:p>
    <w:p w:rsidR="00000000" w:rsidDel="00000000" w:rsidP="00000000" w:rsidRDefault="00000000" w:rsidRPr="00000000" w14:paraId="00000089">
      <w:pPr>
        <w:rPr/>
      </w:pPr>
      <w:r w:rsidDel="00000000" w:rsidR="00000000" w:rsidRPr="00000000">
        <w:rPr>
          <w:color w:val="202122"/>
          <w:sz w:val="21"/>
          <w:szCs w:val="21"/>
          <w:highlight w:val="white"/>
          <w:rtl w:val="0"/>
        </w:rPr>
        <w:t xml:space="preserve">From Wikipedia, the free encyclopedia</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2017 Social Impact Bond Government scheme paid to each company who they took off the street</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2017 Grenfel Fire 72 tenants died</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2018 SG</w:t>
      </w:r>
    </w:p>
    <w:p w:rsidR="00000000" w:rsidDel="00000000" w:rsidP="00000000" w:rsidRDefault="00000000" w:rsidRPr="00000000" w14:paraId="00000090">
      <w:pPr>
        <w:rPr>
          <w:highlight w:val="yellow"/>
        </w:rPr>
      </w:pPr>
      <w:r w:rsidDel="00000000" w:rsidR="00000000" w:rsidRPr="00000000">
        <w:rPr>
          <w:highlight w:val="yellow"/>
          <w:rtl w:val="0"/>
        </w:rPr>
        <w:t xml:space="preserve">“Everyone is entitled to live without fear in a safe and warm environment within their own home”</w:t>
      </w:r>
    </w:p>
    <w:p w:rsidR="00000000" w:rsidDel="00000000" w:rsidP="00000000" w:rsidRDefault="00000000" w:rsidRPr="00000000" w14:paraId="00000091">
      <w:pPr>
        <w:rPr>
          <w:highlight w:val="yellow"/>
        </w:rPr>
      </w:pPr>
      <w:r w:rsidDel="00000000" w:rsidR="00000000" w:rsidRPr="00000000">
        <w:rPr>
          <w:highlight w:val="yellow"/>
          <w:rtl w:val="0"/>
        </w:rPr>
        <w:t xml:space="preserve">Steve Gower </w:t>
      </w:r>
    </w:p>
    <w:p w:rsidR="00000000" w:rsidDel="00000000" w:rsidP="00000000" w:rsidRDefault="00000000" w:rsidRPr="00000000" w14:paraId="00000092">
      <w:pPr>
        <w:rPr>
          <w:highlight w:val="yellow"/>
        </w:rPr>
      </w:pPr>
      <w:r w:rsidDel="00000000" w:rsidR="00000000" w:rsidRPr="00000000">
        <w:rPr>
          <w:rtl w:val="0"/>
        </w:rPr>
      </w:r>
    </w:p>
    <w:p w:rsidR="00000000" w:rsidDel="00000000" w:rsidP="00000000" w:rsidRDefault="00000000" w:rsidRPr="00000000" w14:paraId="00000093">
      <w:pPr>
        <w:rPr>
          <w:highlight w:val="yellow"/>
        </w:rPr>
      </w:pPr>
      <w:r w:rsidDel="00000000" w:rsidR="00000000" w:rsidRPr="00000000">
        <w:rPr>
          <w:highlight w:val="yellow"/>
          <w:rtl w:val="0"/>
        </w:rPr>
        <w:t xml:space="preserve">Motion written in 2018 and passed by Unite Community 01500 Branch 2019</w:t>
      </w:r>
    </w:p>
    <w:p w:rsidR="00000000" w:rsidDel="00000000" w:rsidP="00000000" w:rsidRDefault="00000000" w:rsidRPr="00000000" w14:paraId="00000094">
      <w:pPr>
        <w:rPr>
          <w:highlight w:val="yellow"/>
        </w:rPr>
      </w:pPr>
      <w:r w:rsidDel="00000000" w:rsidR="00000000" w:rsidRPr="00000000">
        <w:rPr>
          <w:rtl w:val="0"/>
        </w:rPr>
      </w:r>
    </w:p>
    <w:p w:rsidR="00000000" w:rsidDel="00000000" w:rsidP="00000000" w:rsidRDefault="00000000" w:rsidRPr="00000000" w14:paraId="00000095">
      <w:pPr>
        <w:rPr>
          <w:highlight w:val="yellow"/>
        </w:rPr>
      </w:pPr>
      <w:r w:rsidDel="00000000" w:rsidR="00000000" w:rsidRPr="00000000">
        <w:rPr>
          <w:highlight w:val="yellow"/>
          <w:rtl w:val="0"/>
        </w:rPr>
        <w:t xml:space="preserve">Motion passed at conference Workers party 2025</w:t>
      </w:r>
    </w:p>
    <w:p w:rsidR="00000000" w:rsidDel="00000000" w:rsidP="00000000" w:rsidRDefault="00000000" w:rsidRPr="00000000" w14:paraId="00000096">
      <w:pPr>
        <w:rPr>
          <w:highlight w:val="yellow"/>
        </w:rPr>
      </w:pPr>
      <w:r w:rsidDel="00000000" w:rsidR="00000000" w:rsidRPr="00000000">
        <w:rPr>
          <w:rtl w:val="0"/>
        </w:rPr>
      </w:r>
    </w:p>
    <w:p w:rsidR="00000000" w:rsidDel="00000000" w:rsidP="00000000" w:rsidRDefault="00000000" w:rsidRPr="00000000" w14:paraId="00000097">
      <w:pPr>
        <w:rPr>
          <w:highlight w:val="yellow"/>
        </w:rPr>
      </w:pPr>
      <w:r w:rsidDel="00000000" w:rsidR="00000000" w:rsidRPr="00000000">
        <w:rPr>
          <w:highlight w:val="yellow"/>
          <w:rtl w:val="0"/>
        </w:rPr>
        <w:t xml:space="preserve">They were written within the Human Rights Act in 1948.</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2018 - Housing First</w:t>
      </w:r>
    </w:p>
    <w:p w:rsidR="00000000" w:rsidDel="00000000" w:rsidP="00000000" w:rsidRDefault="00000000" w:rsidRPr="00000000" w14:paraId="0000009A">
      <w:pPr>
        <w:shd w:fill="ffffff" w:val="clear"/>
        <w:spacing w:after="180" w:lineRule="auto"/>
        <w:rPr>
          <w:b w:val="1"/>
          <w:color w:val="1f1f1f"/>
        </w:rPr>
      </w:pPr>
      <w:r w:rsidDel="00000000" w:rsidR="00000000" w:rsidRPr="00000000">
        <w:rPr>
          <w:b w:val="1"/>
          <w:color w:val="1f1f1f"/>
          <w:rtl w:val="0"/>
        </w:rPr>
        <w:t xml:space="preserve">There are five core principles of Housing First:</w:t>
      </w:r>
    </w:p>
    <w:p w:rsidR="00000000" w:rsidDel="00000000" w:rsidP="00000000" w:rsidRDefault="00000000" w:rsidRPr="00000000" w14:paraId="0000009B">
      <w:pPr>
        <w:numPr>
          <w:ilvl w:val="0"/>
          <w:numId w:val="4"/>
        </w:numPr>
        <w:pBdr>
          <w:top w:color="000000" w:space="0" w:sz="0" w:val="none"/>
          <w:bottom w:color="000000" w:space="0" w:sz="0" w:val="none"/>
          <w:right w:color="000000" w:space="0" w:sz="0" w:val="none"/>
          <w:between w:color="000000" w:space="0" w:sz="0" w:val="none"/>
        </w:pBdr>
        <w:spacing w:after="0" w:lineRule="auto"/>
        <w:ind w:left="720" w:hanging="360"/>
        <w:rPr/>
      </w:pPr>
      <w:r w:rsidDel="00000000" w:rsidR="00000000" w:rsidRPr="00000000">
        <w:rPr>
          <w:color w:val="1f1f1f"/>
          <w:rtl w:val="0"/>
        </w:rPr>
        <w:t xml:space="preserve">Immediate access to permanent housing with no housing readiness requirements. ...</w:t>
      </w:r>
      <w:r w:rsidDel="00000000" w:rsidR="00000000" w:rsidRPr="00000000">
        <w:rPr>
          <w:rtl w:val="0"/>
        </w:rPr>
      </w:r>
    </w:p>
    <w:p w:rsidR="00000000" w:rsidDel="00000000" w:rsidP="00000000" w:rsidRDefault="00000000" w:rsidRPr="00000000" w14:paraId="0000009C">
      <w:pPr>
        <w:numPr>
          <w:ilvl w:val="0"/>
          <w:numId w:val="4"/>
        </w:numPr>
        <w:pBdr>
          <w:top w:color="000000" w:space="0" w:sz="0" w:val="none"/>
          <w:bottom w:color="000000" w:space="0" w:sz="0" w:val="none"/>
          <w:right w:color="000000" w:space="0" w:sz="0" w:val="none"/>
          <w:between w:color="000000" w:space="0" w:sz="0" w:val="none"/>
        </w:pBdr>
        <w:spacing w:after="0" w:lineRule="auto"/>
        <w:ind w:left="720" w:hanging="360"/>
        <w:rPr/>
      </w:pPr>
      <w:r w:rsidDel="00000000" w:rsidR="00000000" w:rsidRPr="00000000">
        <w:rPr>
          <w:color w:val="1f1f1f"/>
          <w:rtl w:val="0"/>
        </w:rPr>
        <w:t xml:space="preserve">Consumer choice and self-determination. ...</w:t>
      </w:r>
      <w:r w:rsidDel="00000000" w:rsidR="00000000" w:rsidRPr="00000000">
        <w:rPr>
          <w:rtl w:val="0"/>
        </w:rPr>
      </w:r>
    </w:p>
    <w:p w:rsidR="00000000" w:rsidDel="00000000" w:rsidP="00000000" w:rsidRDefault="00000000" w:rsidRPr="00000000" w14:paraId="0000009D">
      <w:pPr>
        <w:numPr>
          <w:ilvl w:val="0"/>
          <w:numId w:val="4"/>
        </w:numPr>
        <w:pBdr>
          <w:top w:color="000000" w:space="0" w:sz="0" w:val="none"/>
          <w:bottom w:color="000000" w:space="0" w:sz="0" w:val="none"/>
          <w:right w:color="000000" w:space="0" w:sz="0" w:val="none"/>
          <w:between w:color="000000" w:space="0" w:sz="0" w:val="none"/>
        </w:pBdr>
        <w:spacing w:after="0" w:lineRule="auto"/>
        <w:ind w:left="720" w:hanging="360"/>
        <w:rPr/>
      </w:pPr>
      <w:r w:rsidDel="00000000" w:rsidR="00000000" w:rsidRPr="00000000">
        <w:rPr>
          <w:color w:val="1f1f1f"/>
          <w:rtl w:val="0"/>
        </w:rPr>
        <w:t xml:space="preserve">Recovery orientation. ...</w:t>
      </w:r>
      <w:r w:rsidDel="00000000" w:rsidR="00000000" w:rsidRPr="00000000">
        <w:rPr>
          <w:rtl w:val="0"/>
        </w:rPr>
      </w:r>
    </w:p>
    <w:p w:rsidR="00000000" w:rsidDel="00000000" w:rsidP="00000000" w:rsidRDefault="00000000" w:rsidRPr="00000000" w14:paraId="0000009E">
      <w:pPr>
        <w:numPr>
          <w:ilvl w:val="0"/>
          <w:numId w:val="4"/>
        </w:numPr>
        <w:pBdr>
          <w:top w:color="000000" w:space="0" w:sz="0" w:val="none"/>
          <w:bottom w:color="000000" w:space="0" w:sz="0" w:val="none"/>
          <w:right w:color="000000" w:space="0" w:sz="0" w:val="none"/>
          <w:between w:color="000000" w:space="0" w:sz="0" w:val="none"/>
        </w:pBdr>
        <w:spacing w:after="0" w:lineRule="auto"/>
        <w:ind w:left="720" w:hanging="360"/>
        <w:rPr/>
      </w:pPr>
      <w:r w:rsidDel="00000000" w:rsidR="00000000" w:rsidRPr="00000000">
        <w:rPr>
          <w:color w:val="1f1f1f"/>
          <w:rtl w:val="0"/>
        </w:rPr>
        <w:t xml:space="preserve">Individualized and client-driven support. ...</w:t>
      </w:r>
      <w:r w:rsidDel="00000000" w:rsidR="00000000" w:rsidRPr="00000000">
        <w:rPr>
          <w:rtl w:val="0"/>
        </w:rPr>
      </w:r>
    </w:p>
    <w:p w:rsidR="00000000" w:rsidDel="00000000" w:rsidP="00000000" w:rsidRDefault="00000000" w:rsidRPr="00000000" w14:paraId="0000009F">
      <w:pPr>
        <w:numPr>
          <w:ilvl w:val="0"/>
          <w:numId w:val="4"/>
        </w:numPr>
        <w:pBdr>
          <w:top w:color="000000" w:space="0" w:sz="0" w:val="none"/>
          <w:bottom w:color="000000" w:space="0" w:sz="0" w:val="none"/>
          <w:right w:color="000000" w:space="0" w:sz="0" w:val="none"/>
          <w:between w:color="000000" w:space="0" w:sz="0" w:val="none"/>
        </w:pBdr>
        <w:spacing w:after="60" w:lineRule="auto"/>
        <w:ind w:left="720" w:hanging="360"/>
        <w:rPr/>
      </w:pPr>
      <w:r w:rsidDel="00000000" w:rsidR="00000000" w:rsidRPr="00000000">
        <w:rPr>
          <w:color w:val="1f1f1f"/>
          <w:rtl w:val="0"/>
        </w:rPr>
        <w:t xml:space="preserve">Social and community integration.</w:t>
      </w:r>
      <w:r w:rsidDel="00000000" w:rsidR="00000000" w:rsidRPr="00000000">
        <w:rPr>
          <w:rtl w:val="0"/>
        </w:rPr>
      </w:r>
    </w:p>
    <w:p w:rsidR="00000000" w:rsidDel="00000000" w:rsidP="00000000" w:rsidRDefault="00000000" w:rsidRPr="00000000" w14:paraId="000000A0">
      <w:pPr>
        <w:shd w:fill="ffffff" w:val="clear"/>
        <w:spacing w:after="180" w:before="180" w:lineRule="auto"/>
        <w:rPr>
          <w:b w:val="1"/>
          <w:color w:val="1f1f1f"/>
        </w:rPr>
      </w:pPr>
      <w:r w:rsidDel="00000000" w:rsidR="00000000" w:rsidRPr="00000000">
        <w:rPr>
          <w:b w:val="1"/>
          <w:color w:val="1f1f1f"/>
          <w:rtl w:val="0"/>
        </w:rPr>
        <w:t xml:space="preserve">What are the 5 principles of care?</w:t>
      </w:r>
    </w:p>
    <w:p w:rsidR="00000000" w:rsidDel="00000000" w:rsidP="00000000" w:rsidRDefault="00000000" w:rsidRPr="00000000" w14:paraId="000000A1">
      <w:pPr>
        <w:shd w:fill="ffffff" w:val="clear"/>
        <w:spacing w:line="360" w:lineRule="auto"/>
        <w:ind w:left="-300" w:firstLine="0"/>
        <w:rPr>
          <w:color w:val="1f1f1f"/>
        </w:rPr>
      </w:pPr>
      <w:r w:rsidDel="00000000" w:rsidR="00000000" w:rsidRPr="00000000">
        <w:rPr>
          <w:color w:val="1f1f1f"/>
          <w:rtl w:val="0"/>
        </w:rPr>
        <w:t xml:space="preserve">    Health and Social Care Standards ​</w:t>
      </w:r>
    </w:p>
    <w:p w:rsidR="00000000" w:rsidDel="00000000" w:rsidP="00000000" w:rsidRDefault="00000000" w:rsidRPr="00000000" w14:paraId="000000A2">
      <w:pPr>
        <w:shd w:fill="ffffff" w:val="clear"/>
        <w:ind w:left="-300" w:firstLine="0"/>
        <w:rPr>
          <w:color w:val="1f1f1f"/>
        </w:rPr>
      </w:pPr>
      <w:r w:rsidDel="00000000" w:rsidR="00000000" w:rsidRPr="00000000">
        <w:rPr>
          <w:color w:val="1f1f1f"/>
          <w:rtl w:val="0"/>
        </w:rPr>
        <w:t xml:space="preserve"> The Standards are built upon five principles; </w:t>
      </w:r>
      <w:r w:rsidDel="00000000" w:rsidR="00000000" w:rsidRPr="00000000">
        <w:rPr>
          <w:color w:val="040c28"/>
          <w:shd w:fill="d3e3fd" w:val="clear"/>
          <w:rtl w:val="0"/>
        </w:rPr>
        <w:t xml:space="preserve">dignity and respect, compassion, being included,    responsive care and support and wellbeing</w:t>
      </w:r>
      <w:r w:rsidDel="00000000" w:rsidR="00000000" w:rsidRPr="00000000">
        <w:rPr>
          <w:color w:val="1f1f1f"/>
          <w:rtl w:val="0"/>
        </w:rPr>
        <w:t xml:space="preserve">.</w:t>
      </w:r>
    </w:p>
    <w:p w:rsidR="00000000" w:rsidDel="00000000" w:rsidP="00000000" w:rsidRDefault="00000000" w:rsidRPr="00000000" w14:paraId="000000A3">
      <w:pPr>
        <w:shd w:fill="ffffff" w:val="clear"/>
        <w:ind w:left="-300" w:firstLine="0"/>
        <w:rPr>
          <w:color w:val="1f1f1f"/>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2020 Covid All In - Hotels: Statement from Gloucester social services of 150 - 180 individuals on the DO NOT PLACE LIST in Gloucester</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8 November, 2021 (Updated 22 March, 2023)</w:t>
      </w:r>
    </w:p>
    <w:p w:rsidR="00000000" w:rsidDel="00000000" w:rsidP="00000000" w:rsidRDefault="00000000" w:rsidRPr="00000000" w14:paraId="000000A8">
      <w:pPr>
        <w:rPr>
          <w:color w:val="ffffff"/>
          <w:highlight w:val="black"/>
        </w:rPr>
      </w:pPr>
      <w:r w:rsidDel="00000000" w:rsidR="00000000" w:rsidRPr="00000000">
        <w:rPr>
          <w:rtl w:val="0"/>
        </w:rPr>
      </w:r>
    </w:p>
    <w:p w:rsidR="00000000" w:rsidDel="00000000" w:rsidP="00000000" w:rsidRDefault="00000000" w:rsidRPr="00000000" w14:paraId="000000A9">
      <w:pPr>
        <w:pStyle w:val="Heading3"/>
        <w:keepNext w:val="0"/>
        <w:keepLines w:val="0"/>
        <w:shd w:fill="ffffff" w:val="clear"/>
        <w:spacing w:after="0" w:before="0" w:line="300" w:lineRule="auto"/>
        <w:rPr>
          <w:b w:val="1"/>
          <w:color w:val="000000"/>
          <w:sz w:val="22"/>
          <w:szCs w:val="22"/>
        </w:rPr>
      </w:pPr>
      <w:bookmarkStart w:colFirst="0" w:colLast="0" w:name="_n1ty66790qya" w:id="6"/>
      <w:bookmarkEnd w:id="6"/>
      <w:r w:rsidDel="00000000" w:rsidR="00000000" w:rsidRPr="00000000">
        <w:rPr>
          <w:b w:val="1"/>
          <w:color w:val="000000"/>
          <w:sz w:val="22"/>
          <w:szCs w:val="22"/>
          <w:rtl w:val="0"/>
        </w:rPr>
        <w:t xml:space="preserve">The top ten builders in the UK</w:t>
      </w:r>
    </w:p>
    <w:p w:rsidR="00000000" w:rsidDel="00000000" w:rsidP="00000000" w:rsidRDefault="00000000" w:rsidRPr="00000000" w14:paraId="000000AA">
      <w:pPr>
        <w:rPr>
          <w:b w:val="1"/>
        </w:rPr>
      </w:pPr>
      <w:r w:rsidDel="00000000" w:rsidR="00000000" w:rsidRPr="00000000">
        <w:rPr>
          <w:rtl w:val="0"/>
        </w:rPr>
      </w:r>
    </w:p>
    <w:p w:rsidR="00000000" w:rsidDel="00000000" w:rsidP="00000000" w:rsidRDefault="00000000" w:rsidRPr="00000000" w14:paraId="000000AB">
      <w:pPr>
        <w:pStyle w:val="Heading3"/>
        <w:keepNext w:val="0"/>
        <w:keepLines w:val="0"/>
        <w:shd w:fill="ffffff" w:val="clear"/>
        <w:spacing w:after="0" w:before="0" w:line="300" w:lineRule="auto"/>
        <w:rPr>
          <w:color w:val="000000"/>
          <w:sz w:val="22"/>
          <w:szCs w:val="22"/>
        </w:rPr>
      </w:pPr>
      <w:bookmarkStart w:colFirst="0" w:colLast="0" w:name="_g4rfu8fnrs6e" w:id="7"/>
      <w:bookmarkEnd w:id="7"/>
      <w:r w:rsidDel="00000000" w:rsidR="00000000" w:rsidRPr="00000000">
        <w:rPr>
          <w:color w:val="000000"/>
          <w:sz w:val="22"/>
          <w:szCs w:val="22"/>
          <w:rtl w:val="0"/>
        </w:rPr>
        <w:t xml:space="preserve">3) Taylor Wimpey</w:t>
      </w:r>
    </w:p>
    <w:p w:rsidR="00000000" w:rsidDel="00000000" w:rsidP="00000000" w:rsidRDefault="00000000" w:rsidRPr="00000000" w14:paraId="000000AC">
      <w:pPr>
        <w:shd w:fill="ffffff" w:val="clear"/>
        <w:rPr/>
      </w:pPr>
      <w:hyperlink r:id="rId27">
        <w:r w:rsidDel="00000000" w:rsidR="00000000" w:rsidRPr="00000000">
          <w:rPr>
            <w:color w:val="1155cc"/>
            <w:u w:val="single"/>
            <w:rtl w:val="0"/>
          </w:rPr>
          <w:t xml:space="preserve">Taylor Wimpey</w:t>
        </w:r>
      </w:hyperlink>
      <w:r w:rsidDel="00000000" w:rsidR="00000000" w:rsidRPr="00000000">
        <w:rPr>
          <w:rtl w:val="0"/>
        </w:rPr>
        <w:t xml:space="preserve"> is a leading UK housebuilder with an annual turnover of around £2,727 million. The average selling price of a Taylor Wimpey home is £323,000. They have been in business since 1921 and are headquartered in High Wycombe. Taylor Wimpey has 5,948 employees and builds over 9,600 houses per year. </w:t>
      </w:r>
    </w:p>
    <w:p w:rsidR="00000000" w:rsidDel="00000000" w:rsidP="00000000" w:rsidRDefault="00000000" w:rsidRPr="00000000" w14:paraId="000000AD">
      <w:pPr>
        <w:shd w:fill="ffffff" w:val="clear"/>
        <w:rPr/>
      </w:pPr>
      <w:r w:rsidDel="00000000" w:rsidR="00000000" w:rsidRPr="00000000">
        <w:rPr>
          <w:rtl w:val="0"/>
        </w:rPr>
      </w:r>
    </w:p>
    <w:p w:rsidR="00000000" w:rsidDel="00000000" w:rsidP="00000000" w:rsidRDefault="00000000" w:rsidRPr="00000000" w14:paraId="000000AE">
      <w:pPr>
        <w:shd w:fill="ffffff" w:val="clear"/>
        <w:spacing w:after="180" w:before="180" w:lineRule="auto"/>
        <w:rPr>
          <w:color w:val="1f1f1f"/>
        </w:rPr>
      </w:pPr>
      <w:r w:rsidDel="00000000" w:rsidR="00000000" w:rsidRPr="00000000">
        <w:rPr>
          <w:color w:val="1f1f1f"/>
          <w:rtl w:val="0"/>
        </w:rPr>
        <w:t xml:space="preserve">Why has social affordable housing declined so much since 1980?</w:t>
      </w:r>
    </w:p>
    <w:p w:rsidR="00000000" w:rsidDel="00000000" w:rsidP="00000000" w:rsidRDefault="00000000" w:rsidRPr="00000000" w14:paraId="000000AF">
      <w:pPr>
        <w:shd w:fill="ffffff" w:val="clear"/>
        <w:rPr>
          <w:color w:val="1f1f1f"/>
        </w:rPr>
      </w:pPr>
      <w:r w:rsidDel="00000000" w:rsidR="00000000" w:rsidRPr="00000000">
        <w:rPr>
          <w:color w:val="040c28"/>
          <w:shd w:fill="d3e3fd" w:val="clear"/>
          <w:rtl w:val="0"/>
        </w:rPr>
        <w:t xml:space="preserve">Insufficient social housebuilding</w:t>
      </w:r>
      <w:r w:rsidDel="00000000" w:rsidR="00000000" w:rsidRPr="00000000">
        <w:rPr>
          <w:color w:val="1f1f1f"/>
          <w:rtl w:val="0"/>
        </w:rPr>
        <w:t xml:space="preserve"> plus too many homes being sold or demolished means there's been a net loss of social housing nearly every year since 1981.</w:t>
      </w:r>
    </w:p>
    <w:p w:rsidR="00000000" w:rsidDel="00000000" w:rsidP="00000000" w:rsidRDefault="00000000" w:rsidRPr="00000000" w14:paraId="000000B0">
      <w:pPr>
        <w:shd w:fill="ffffff" w:val="clear"/>
        <w:spacing w:after="60" w:line="379.20000000000005" w:lineRule="auto"/>
        <w:rPr>
          <w:color w:val="1155cc"/>
          <w:u w:val="single"/>
        </w:rPr>
      </w:pPr>
      <w:r w:rsidDel="00000000" w:rsidR="00000000" w:rsidRPr="00000000">
        <w:fldChar w:fldCharType="begin"/>
        <w:instrText xml:space="preserve"> HYPERLINK "https://england.shelter.org.uk/support_us/campaigns/social_housing_deficit#:~:text=Insufficient%20social%20housebuilding%20plus%20too,nearly%20every%20year%20since%201981." </w:instrText>
        <w:fldChar w:fldCharType="separate"/>
      </w:r>
      <w:r w:rsidDel="00000000" w:rsidR="00000000" w:rsidRPr="00000000">
        <w:rPr>
          <w:rtl w:val="0"/>
        </w:rPr>
      </w:r>
    </w:p>
    <w:p w:rsidR="00000000" w:rsidDel="00000000" w:rsidP="00000000" w:rsidRDefault="00000000" w:rsidRPr="00000000" w14:paraId="000000B1">
      <w:pPr>
        <w:shd w:fill="ffffff" w:val="clear"/>
        <w:spacing w:after="60" w:line="379.20000000000005" w:lineRule="auto"/>
        <w:rPr>
          <w:color w:val="1155cc"/>
          <w:u w:val="single"/>
        </w:rPr>
      </w:pPr>
      <w:r w:rsidDel="00000000" w:rsidR="00000000" w:rsidRPr="00000000">
        <w:rPr>
          <w:color w:val="1155cc"/>
          <w:u w:val="single"/>
          <w:rtl w:val="0"/>
        </w:rPr>
        <w:t xml:space="preserve">Loss of social housing - Shelter England</w:t>
      </w:r>
    </w:p>
    <w:p w:rsidR="00000000" w:rsidDel="00000000" w:rsidP="00000000" w:rsidRDefault="00000000" w:rsidRPr="00000000" w14:paraId="000000B2">
      <w:pPr>
        <w:shd w:fill="ffffff" w:val="clear"/>
        <w:spacing w:after="60" w:line="342.85714285714283" w:lineRule="auto"/>
        <w:rPr>
          <w:color w:val="202124"/>
          <w:sz w:val="21"/>
          <w:szCs w:val="21"/>
          <w:u w:val="single"/>
        </w:rPr>
      </w:pPr>
      <w:r w:rsidDel="00000000" w:rsidR="00000000" w:rsidRPr="00000000">
        <w:fldChar w:fldCharType="end"/>
      </w:r>
      <w:r w:rsidDel="00000000" w:rsidR="00000000" w:rsidRPr="00000000">
        <w:fldChar w:fldCharType="begin"/>
        <w:instrText xml:space="preserve"> HYPERLINK "https://england.shelter.org.uk/support_us/campaigns/social_housing_deficit#:~:text=Insufficient%20social%20housebuilding%20plus%20too,nearly%20every%20year%20since%201981." </w:instrText>
        <w:fldChar w:fldCharType="separate"/>
      </w:r>
      <w:r w:rsidDel="00000000" w:rsidR="00000000" w:rsidRPr="00000000">
        <w:rPr>
          <w:color w:val="202124"/>
          <w:sz w:val="21"/>
          <w:szCs w:val="21"/>
          <w:u w:val="single"/>
          <w:rtl w:val="0"/>
        </w:rPr>
        <w:t xml:space="preserve">Shelter England</w:t>
      </w:r>
    </w:p>
    <w:p w:rsidR="00000000" w:rsidDel="00000000" w:rsidP="00000000" w:rsidRDefault="00000000" w:rsidRPr="00000000" w14:paraId="000000B3">
      <w:pPr>
        <w:shd w:fill="ffffff" w:val="clear"/>
        <w:rPr/>
      </w:pPr>
      <w:r w:rsidDel="00000000" w:rsidR="00000000" w:rsidRPr="00000000">
        <w:fldChar w:fldCharType="end"/>
      </w:r>
      <w:r w:rsidDel="00000000" w:rsidR="00000000" w:rsidRPr="00000000">
        <w:rPr>
          <w:rtl w:val="0"/>
        </w:rPr>
      </w:r>
    </w:p>
    <w:p w:rsidR="00000000" w:rsidDel="00000000" w:rsidP="00000000" w:rsidRDefault="00000000" w:rsidRPr="00000000" w14:paraId="000000B4">
      <w:pPr>
        <w:shd w:fill="ffffff" w:val="clear"/>
        <w:spacing w:after="180" w:before="180" w:lineRule="auto"/>
        <w:rPr>
          <w:color w:val="1f1f1f"/>
        </w:rPr>
      </w:pPr>
      <w:r w:rsidDel="00000000" w:rsidR="00000000" w:rsidRPr="00000000">
        <w:rPr>
          <w:color w:val="1f1f1f"/>
          <w:rtl w:val="0"/>
        </w:rPr>
        <w:t xml:space="preserve">What percentage of UK housing is social housing?</w:t>
      </w:r>
    </w:p>
    <w:p w:rsidR="00000000" w:rsidDel="00000000" w:rsidP="00000000" w:rsidRDefault="00000000" w:rsidRPr="00000000" w14:paraId="000000B5">
      <w:pPr>
        <w:shd w:fill="ffffff" w:val="clear"/>
        <w:spacing w:after="80" w:before="0" w:line="300" w:lineRule="auto"/>
        <w:rPr>
          <w:color w:val="1f1f1f"/>
        </w:rPr>
      </w:pPr>
      <w:r w:rsidDel="00000000" w:rsidR="00000000" w:rsidRPr="00000000">
        <w:rPr>
          <w:color w:val="1f1f1f"/>
          <w:rtl w:val="0"/>
        </w:rPr>
        <w:t xml:space="preserve">17%</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widowControl w:val="0"/>
        <w:shd w:fill="ffffff" w:val="clear"/>
        <w:spacing w:after="320" w:line="409.09090909090907" w:lineRule="auto"/>
        <w:ind w:right="260"/>
        <w:rPr>
          <w:b w:val="1"/>
        </w:rPr>
      </w:pPr>
      <w:r w:rsidDel="00000000" w:rsidR="00000000" w:rsidRPr="00000000">
        <w:rPr>
          <w:b w:val="1"/>
          <w:rtl w:val="0"/>
        </w:rPr>
        <w:t xml:space="preserve">Homecare Association</w:t>
      </w:r>
    </w:p>
    <w:p w:rsidR="00000000" w:rsidDel="00000000" w:rsidP="00000000" w:rsidRDefault="00000000" w:rsidRPr="00000000" w14:paraId="000000B8">
      <w:pPr>
        <w:widowControl w:val="0"/>
        <w:shd w:fill="ffffff" w:val="clear"/>
        <w:spacing w:after="320" w:line="409.09090909090907" w:lineRule="auto"/>
        <w:ind w:right="260"/>
        <w:rPr/>
      </w:pPr>
      <w:r w:rsidDel="00000000" w:rsidR="00000000" w:rsidRPr="00000000">
        <w:rPr>
          <w:rtl w:val="0"/>
        </w:rPr>
        <w:t xml:space="preserve">30 Jul 2024</w:t>
      </w:r>
    </w:p>
    <w:p w:rsidR="00000000" w:rsidDel="00000000" w:rsidP="00000000" w:rsidRDefault="00000000" w:rsidRPr="00000000" w14:paraId="000000B9">
      <w:pPr>
        <w:widowControl w:val="0"/>
        <w:shd w:fill="ffffff" w:val="clear"/>
        <w:spacing w:after="320" w:line="409.09090909090907" w:lineRule="auto"/>
        <w:ind w:right="260"/>
        <w:rPr/>
      </w:pPr>
      <w:r w:rsidDel="00000000" w:rsidR="00000000" w:rsidRPr="00000000">
        <w:rPr>
          <w:rtl w:val="0"/>
        </w:rPr>
        <w:t xml:space="preserve">Yesterday the Chancellor announced the government is cancelling social care charging reform. Today, a </w:t>
      </w:r>
      <w:hyperlink r:id="rId28">
        <w:r w:rsidDel="00000000" w:rsidR="00000000" w:rsidRPr="00000000">
          <w:rPr>
            <w:b w:val="1"/>
            <w:rtl w:val="0"/>
          </w:rPr>
          <w:t xml:space="preserve">Ministerial Statement</w:t>
        </w:r>
      </w:hyperlink>
      <w:r w:rsidDel="00000000" w:rsidR="00000000" w:rsidRPr="00000000">
        <w:rPr>
          <w:rtl w:val="0"/>
        </w:rPr>
        <w:t xml:space="preserve"> confirmed they will not provide the Adult Social Care Training and Development Fund. As usual, the Treasury is pouring most of the money into the bottomless pit of the NHS.</w:t>
      </w:r>
    </w:p>
    <w:p w:rsidR="00000000" w:rsidDel="00000000" w:rsidP="00000000" w:rsidRDefault="00000000" w:rsidRPr="00000000" w14:paraId="000000BA">
      <w:pPr>
        <w:widowControl w:val="0"/>
        <w:shd w:fill="ffffff" w:val="clear"/>
        <w:spacing w:after="300" w:line="409.09090909090907" w:lineRule="auto"/>
        <w:rPr/>
      </w:pPr>
      <w:r w:rsidDel="00000000" w:rsidR="00000000" w:rsidRPr="00000000">
        <w:rPr>
          <w:rtl w:val="0"/>
        </w:rPr>
        <w:t xml:space="preserve">The government plans to continue funding Adult Social Care Learning and Development at the same level as last year.</w:t>
      </w:r>
    </w:p>
    <w:p w:rsidR="00000000" w:rsidDel="00000000" w:rsidP="00000000" w:rsidRDefault="00000000" w:rsidRPr="00000000" w14:paraId="000000BB">
      <w:pPr>
        <w:widowControl w:val="0"/>
        <w:shd w:fill="ffffff" w:val="clear"/>
        <w:spacing w:after="300" w:line="409.09090909090907" w:lineRule="auto"/>
        <w:rPr/>
      </w:pPr>
      <w:r w:rsidDel="00000000" w:rsidR="00000000" w:rsidRPr="00000000">
        <w:rPr>
          <w:rtl w:val="0"/>
        </w:rPr>
        <w:t xml:space="preserve">Dr Jane Townson OBE, CEO of the Homecare Association commented:</w:t>
      </w:r>
    </w:p>
    <w:p w:rsidR="00000000" w:rsidDel="00000000" w:rsidP="00000000" w:rsidRDefault="00000000" w:rsidRPr="00000000" w14:paraId="000000BC">
      <w:pPr>
        <w:widowControl w:val="0"/>
        <w:spacing w:after="600" w:line="288" w:lineRule="auto"/>
        <w:ind w:left="1060" w:right="1060" w:firstLine="0"/>
        <w:rPr>
          <w:highlight w:val="white"/>
        </w:rPr>
      </w:pPr>
      <w:r w:rsidDel="00000000" w:rsidR="00000000" w:rsidRPr="00000000">
        <w:rPr>
          <w:highlight w:val="white"/>
          <w:rtl w:val="0"/>
        </w:rPr>
        <w:t xml:space="preserve">“Plus ça change, plus c’est la même chose. Social care remains the poor relation to the NHS, despite its crucial role in supporting people to live well at home and reducing pressure on hospitals.</w:t>
      </w:r>
    </w:p>
    <w:p w:rsidR="00000000" w:rsidDel="00000000" w:rsidP="00000000" w:rsidRDefault="00000000" w:rsidRPr="00000000" w14:paraId="000000BD">
      <w:pPr>
        <w:widowControl w:val="0"/>
        <w:spacing w:after="600" w:line="288" w:lineRule="auto"/>
        <w:ind w:left="1060" w:right="1060" w:firstLine="0"/>
        <w:rPr>
          <w:highlight w:val="white"/>
        </w:rPr>
      </w:pPr>
      <w:r w:rsidDel="00000000" w:rsidR="00000000" w:rsidRPr="00000000">
        <w:rPr>
          <w:highlight w:val="white"/>
          <w:rtl w:val="0"/>
        </w:rPr>
        <w:t xml:space="preserve">The new government has been quick to share its plans for the NHS but has said little about social care, apart from talk of fair pay agreements, for which there is no funding.</w:t>
      </w:r>
    </w:p>
    <w:p w:rsidR="00000000" w:rsidDel="00000000" w:rsidP="00000000" w:rsidRDefault="00000000" w:rsidRPr="00000000" w14:paraId="000000BE">
      <w:pPr>
        <w:widowControl w:val="0"/>
        <w:spacing w:after="300" w:line="288" w:lineRule="auto"/>
        <w:ind w:left="1060" w:right="1060" w:firstLine="0"/>
        <w:rPr>
          <w:highlight w:val="white"/>
        </w:rPr>
      </w:pPr>
      <w:r w:rsidDel="00000000" w:rsidR="00000000" w:rsidRPr="00000000">
        <w:rPr>
          <w:highlight w:val="white"/>
          <w:rtl w:val="0"/>
        </w:rPr>
        <w:t xml:space="preserve">We call on the government to come clean and clarify its plans for the sector. Without meaningful, funded reform, we risk the collapse of a system that millions depend on. The time for empty promises and half-measures is over – we need action now."</w:t>
      </w:r>
    </w:p>
    <w:p w:rsidR="00000000" w:rsidDel="00000000" w:rsidP="00000000" w:rsidRDefault="00000000" w:rsidRPr="00000000" w14:paraId="000000BF">
      <w:pPr>
        <w:widowControl w:val="0"/>
        <w:spacing w:line="240" w:lineRule="auto"/>
        <w:rPr>
          <w:b w:val="1"/>
          <w:u w:val="single"/>
        </w:rPr>
      </w:pPr>
      <w:r w:rsidDel="00000000" w:rsidR="00000000" w:rsidRPr="00000000">
        <w:rPr>
          <w:rtl w:val="0"/>
        </w:rPr>
      </w:r>
    </w:p>
    <w:p w:rsidR="00000000" w:rsidDel="00000000" w:rsidP="00000000" w:rsidRDefault="00000000" w:rsidRPr="00000000" w14:paraId="000000C0">
      <w:pPr>
        <w:widowControl w:val="0"/>
        <w:spacing w:line="240" w:lineRule="auto"/>
        <w:rPr/>
      </w:pPr>
      <w:r w:rsidDel="00000000" w:rsidR="00000000" w:rsidRPr="00000000">
        <w:rPr>
          <w:rtl w:val="0"/>
        </w:rPr>
      </w:r>
    </w:p>
    <w:p w:rsidR="00000000" w:rsidDel="00000000" w:rsidP="00000000" w:rsidRDefault="00000000" w:rsidRPr="00000000" w14:paraId="000000C1">
      <w:pPr>
        <w:widowControl w:val="0"/>
        <w:spacing w:line="240" w:lineRule="auto"/>
        <w:rPr/>
      </w:pPr>
      <w:r w:rsidDel="00000000" w:rsidR="00000000" w:rsidRPr="00000000">
        <w:rPr>
          <w:color w:val="040c28"/>
          <w:shd w:fill="d3e3fd" w:val="clear"/>
          <w:rtl w:val="0"/>
        </w:rPr>
        <w:t xml:space="preserve">The number of children's homes in England continues to rise across all regions</w:t>
      </w:r>
      <w:r w:rsidDel="00000000" w:rsidR="00000000" w:rsidRPr="00000000">
        <w:rPr>
          <w:highlight w:val="white"/>
          <w:rtl w:val="0"/>
        </w:rPr>
        <w:t xml:space="preserve">. As of 31 March 2023, there was a 9% increase in the number of children's homes (to 2,880) and a 7% increase in the number of places (to 10,818) compared with 31 March 2022.8 Sept 2023</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As of 2022, around 11 million people in the UK were living in relative poverty, increasing to 14.4 million when housing costs are considered.</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During this year, it was also estimated that almost 4.22 million children were living in relative poverty.</w:t>
      </w:r>
    </w:p>
    <w:p w:rsidR="00000000" w:rsidDel="00000000" w:rsidP="00000000" w:rsidRDefault="00000000" w:rsidRPr="00000000" w14:paraId="000000C6">
      <w:pPr>
        <w:rPr/>
      </w:pPr>
      <w:hyperlink r:id="rId29">
        <w:r w:rsidDel="00000000" w:rsidR="00000000" w:rsidRPr="00000000">
          <w:rPr>
            <w:color w:val="1155cc"/>
            <w:u w:val="single"/>
            <w:rtl w:val="0"/>
          </w:rPr>
          <w:t xml:space="preserve">https://www.statista.com/</w:t>
        </w:r>
      </w:hyperlink>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shd w:fill="ffffff" w:val="clear"/>
        <w:spacing w:after="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Adam Scorer, chief executive of National Energy Action (NEA), said:</w:t>
      </w:r>
    </w:p>
    <w:p w:rsidR="00000000" w:rsidDel="00000000" w:rsidP="00000000" w:rsidRDefault="00000000" w:rsidRPr="00000000" w14:paraId="000000C9">
      <w:pPr>
        <w:shd w:fill="ffffff" w:val="clear"/>
        <w:spacing w:after="240" w:lineRule="auto"/>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“Every year we see the consequences of failing to keep the most vulnerable people safe and warm during the coldest, winter months. Today’s figures show a significant drop in premature winter deaths, partly because of a higher number of deaths outside winter months, but it’s still 45 people per day in the winter months. The truth is that we should not accept any death directly caused by a cold, unsafe home.</w:t>
      </w:r>
    </w:p>
    <w:p w:rsidR="00000000" w:rsidDel="00000000" w:rsidP="00000000" w:rsidRDefault="00000000" w:rsidRPr="00000000" w14:paraId="000000CA">
      <w:pPr>
        <w:shd w:fill="ffffff" w:val="clear"/>
        <w:spacing w:after="180" w:before="180" w:lineRule="auto"/>
        <w:rPr>
          <w:color w:val="1f1f1f"/>
        </w:rPr>
      </w:pPr>
      <w:r w:rsidDel="00000000" w:rsidR="00000000" w:rsidRPr="00000000">
        <w:rPr>
          <w:rtl w:val="0"/>
        </w:rPr>
      </w:r>
    </w:p>
    <w:p w:rsidR="00000000" w:rsidDel="00000000" w:rsidP="00000000" w:rsidRDefault="00000000" w:rsidRPr="00000000" w14:paraId="000000CB">
      <w:pPr>
        <w:shd w:fill="ffffff" w:val="clear"/>
        <w:spacing w:after="180" w:before="180" w:lineRule="auto"/>
        <w:rPr>
          <w:color w:val="1f1f1f"/>
        </w:rPr>
      </w:pPr>
      <w:r w:rsidDel="00000000" w:rsidR="00000000" w:rsidRPr="00000000">
        <w:rPr>
          <w:color w:val="1f1f1f"/>
          <w:rtl w:val="0"/>
        </w:rPr>
        <w:t xml:space="preserve">How much does the UK government subsidize fossil fuels?</w:t>
      </w:r>
    </w:p>
    <w:p w:rsidR="00000000" w:rsidDel="00000000" w:rsidP="00000000" w:rsidRDefault="00000000" w:rsidRPr="00000000" w14:paraId="000000CC">
      <w:pPr>
        <w:shd w:fill="ffffff" w:val="clear"/>
        <w:rPr>
          <w:color w:val="1f1f1f"/>
          <w:sz w:val="24"/>
          <w:szCs w:val="24"/>
        </w:rPr>
      </w:pPr>
      <w:r w:rsidDel="00000000" w:rsidR="00000000" w:rsidRPr="00000000">
        <w:rPr>
          <w:color w:val="1f1f1f"/>
          <w:rtl w:val="0"/>
        </w:rPr>
        <w:t xml:space="preserve">The UK's domestic fossil fuel subsidies are estimated at </w:t>
      </w:r>
      <w:r w:rsidDel="00000000" w:rsidR="00000000" w:rsidRPr="00000000">
        <w:rPr>
          <w:color w:val="040c28"/>
          <w:shd w:fill="d3e3fd" w:val="clear"/>
          <w:rtl w:val="0"/>
        </w:rPr>
        <w:t xml:space="preserve">£13.6 billion a year</w:t>
      </w:r>
      <w:r w:rsidDel="00000000" w:rsidR="00000000" w:rsidRPr="00000000">
        <w:rPr>
          <w:color w:val="1f1f1f"/>
          <w:rtl w:val="0"/>
        </w:rPr>
        <w:t xml:space="preserve">, most of this as tax reductions</w:t>
      </w:r>
      <w:r w:rsidDel="00000000" w:rsidR="00000000" w:rsidRPr="00000000">
        <w:rPr>
          <w:color w:val="1f1f1f"/>
          <w:sz w:val="24"/>
          <w:szCs w:val="24"/>
          <w:rtl w:val="0"/>
        </w:rPr>
        <w:t xml:space="preserve">. </w:t>
      </w:r>
    </w:p>
    <w:p w:rsidR="00000000" w:rsidDel="00000000" w:rsidP="00000000" w:rsidRDefault="00000000" w:rsidRPr="00000000" w14:paraId="000000CD">
      <w:pPr>
        <w:shd w:fill="ffffff" w:val="clear"/>
        <w:spacing w:after="240" w:lineRule="auto"/>
        <w:rPr/>
      </w:pPr>
      <w:r w:rsidDel="00000000" w:rsidR="00000000" w:rsidRPr="00000000">
        <w:rPr>
          <w:rtl w:val="0"/>
        </w:rPr>
      </w:r>
    </w:p>
    <w:p w:rsidR="00000000" w:rsidDel="00000000" w:rsidP="00000000" w:rsidRDefault="00000000" w:rsidRPr="00000000" w14:paraId="000000CE">
      <w:pPr>
        <w:shd w:fill="ffffff" w:val="clear"/>
        <w:spacing w:after="180" w:before="180" w:lineRule="auto"/>
        <w:rPr>
          <w:color w:val="1f1f1f"/>
        </w:rPr>
      </w:pPr>
      <w:r w:rsidDel="00000000" w:rsidR="00000000" w:rsidRPr="00000000">
        <w:rPr>
          <w:color w:val="1f1f1f"/>
          <w:rtl w:val="0"/>
        </w:rPr>
        <w:t xml:space="preserve">How much does the UK spend on pharmaceuticals?</w:t>
      </w:r>
    </w:p>
    <w:p w:rsidR="00000000" w:rsidDel="00000000" w:rsidP="00000000" w:rsidRDefault="00000000" w:rsidRPr="00000000" w14:paraId="000000CF">
      <w:pPr>
        <w:shd w:fill="ffffff" w:val="clear"/>
        <w:spacing w:line="360" w:lineRule="auto"/>
        <w:rPr>
          <w:color w:val="1f1f1f"/>
        </w:rPr>
      </w:pPr>
      <w:r w:rsidDel="00000000" w:rsidR="00000000" w:rsidRPr="00000000">
        <w:rPr>
          <w:color w:val="1f1f1f"/>
          <w:rtl w:val="0"/>
        </w:rPr>
        <w:t xml:space="preserve">Total pharmaceutical expenditure</w:t>
      </w:r>
    </w:p>
    <w:p w:rsidR="00000000" w:rsidDel="00000000" w:rsidP="00000000" w:rsidRDefault="00000000" w:rsidRPr="00000000" w14:paraId="000000D0">
      <w:pPr>
        <w:shd w:fill="ffffff" w:val="clear"/>
        <w:spacing w:line="360" w:lineRule="auto"/>
        <w:rPr>
          <w:color w:val="1f1f1f"/>
        </w:rPr>
      </w:pPr>
      <w:r w:rsidDel="00000000" w:rsidR="00000000" w:rsidRPr="00000000">
        <w:rPr>
          <w:rtl w:val="0"/>
        </w:rPr>
      </w:r>
    </w:p>
    <w:p w:rsidR="00000000" w:rsidDel="00000000" w:rsidP="00000000" w:rsidRDefault="00000000" w:rsidRPr="00000000" w14:paraId="000000D1">
      <w:pPr>
        <w:shd w:fill="ffffff" w:val="clear"/>
        <w:rPr>
          <w:color w:val="1f1f1f"/>
        </w:rPr>
      </w:pPr>
      <w:r w:rsidDel="00000000" w:rsidR="00000000" w:rsidRPr="00000000">
        <w:rPr>
          <w:color w:val="1f1f1f"/>
          <w:rtl w:val="0"/>
        </w:rPr>
        <w:t xml:space="preserve">Total UK pharmaceutical expenditure was </w:t>
      </w:r>
      <w:r w:rsidDel="00000000" w:rsidR="00000000" w:rsidRPr="00000000">
        <w:rPr>
          <w:color w:val="040c28"/>
          <w:shd w:fill="d3e3fd" w:val="clear"/>
          <w:rtl w:val="0"/>
        </w:rPr>
        <w:t xml:space="preserve">£36.7 billion in 2022</w:t>
      </w:r>
      <w:r w:rsidDel="00000000" w:rsidR="00000000" w:rsidRPr="00000000">
        <w:rPr>
          <w:color w:val="1f1f1f"/>
          <w:rtl w:val="0"/>
        </w:rPr>
        <w:t xml:space="preserve"> (2023 prices), with around: 48.3% relating to spending on community-prescribed medicines. 21.4% on over-the-counter medicines.31 May 2024</w:t>
      </w:r>
    </w:p>
    <w:p w:rsidR="00000000" w:rsidDel="00000000" w:rsidP="00000000" w:rsidRDefault="00000000" w:rsidRPr="00000000" w14:paraId="000000D2">
      <w:pPr>
        <w:shd w:fill="ffffff" w:val="clear"/>
        <w:rPr>
          <w:color w:val="1f1f1f"/>
        </w:rPr>
      </w:pPr>
      <w:r w:rsidDel="00000000" w:rsidR="00000000" w:rsidRPr="00000000">
        <w:rPr>
          <w:rtl w:val="0"/>
        </w:rPr>
      </w:r>
    </w:p>
    <w:p w:rsidR="00000000" w:rsidDel="00000000" w:rsidP="00000000" w:rsidRDefault="00000000" w:rsidRPr="00000000" w14:paraId="000000D3">
      <w:pPr>
        <w:shd w:fill="ffffff" w:val="clear"/>
        <w:spacing w:after="160" w:line="320" w:lineRule="auto"/>
        <w:ind w:right="100"/>
        <w:rPr>
          <w:color w:val="001d35"/>
        </w:rPr>
      </w:pPr>
      <w:r w:rsidDel="00000000" w:rsidR="00000000" w:rsidRPr="00000000">
        <w:rPr>
          <w:rtl w:val="0"/>
        </w:rPr>
      </w:r>
    </w:p>
    <w:p w:rsidR="00000000" w:rsidDel="00000000" w:rsidP="00000000" w:rsidRDefault="00000000" w:rsidRPr="00000000" w14:paraId="000000D4">
      <w:pPr>
        <w:shd w:fill="ffffff" w:val="clear"/>
        <w:spacing w:after="160" w:line="320" w:lineRule="auto"/>
        <w:ind w:right="100"/>
        <w:rPr>
          <w:color w:val="001d35"/>
        </w:rPr>
      </w:pPr>
      <w:r w:rsidDel="00000000" w:rsidR="00000000" w:rsidRPr="00000000">
        <w:rPr>
          <w:color w:val="001d35"/>
          <w:rtl w:val="0"/>
        </w:rPr>
        <w:t xml:space="preserve">In the UK, local authorities spend money on social care, with the majority of the money going to long-term and short-term care: </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2.5008134313794"/>
        <w:gridCol w:w="6233.010997592244"/>
        <w:tblGridChange w:id="0">
          <w:tblGrid>
            <w:gridCol w:w="2792.5008134313794"/>
            <w:gridCol w:w="6233.010997592244"/>
          </w:tblGrid>
        </w:tblGridChange>
      </w:tblGrid>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180.0" w:type="dxa"/>
              <w:right w:w="160.0" w:type="dxa"/>
            </w:tcMar>
            <w:vAlign w:val="top"/>
          </w:tcPr>
          <w:p w:rsidR="00000000" w:rsidDel="00000000" w:rsidP="00000000" w:rsidRDefault="00000000" w:rsidRPr="00000000" w14:paraId="000000D5">
            <w:pPr>
              <w:shd w:fill="ffffff" w:val="clear"/>
              <w:spacing w:after="300" w:line="342.85714285714283"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60.0" w:type="dxa"/>
              <w:bottom w:w="180.0" w:type="dxa"/>
              <w:right w:w="100.0" w:type="dxa"/>
            </w:tcMar>
            <w:vAlign w:val="top"/>
          </w:tcPr>
          <w:p w:rsidR="00000000" w:rsidDel="00000000" w:rsidP="00000000" w:rsidRDefault="00000000" w:rsidRPr="00000000" w14:paraId="000000D6">
            <w:pPr>
              <w:shd w:fill="ffffff" w:val="clear"/>
              <w:spacing w:after="300" w:line="342.85714285714283" w:lineRule="auto"/>
              <w:rPr>
                <w:b w:val="1"/>
              </w:rPr>
            </w:pPr>
            <w:r w:rsidDel="00000000" w:rsidR="00000000" w:rsidRPr="00000000">
              <w:rPr>
                <w:b w:val="1"/>
                <w:rtl w:val="0"/>
              </w:rPr>
              <w:t xml:space="preserve">2022/23 expenditure</w:t>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180.0" w:type="dxa"/>
              <w:left w:w="100.0" w:type="dxa"/>
              <w:bottom w:w="180.0" w:type="dxa"/>
              <w:right w:w="160.0" w:type="dxa"/>
            </w:tcMar>
            <w:vAlign w:val="top"/>
          </w:tcPr>
          <w:p w:rsidR="00000000" w:rsidDel="00000000" w:rsidP="00000000" w:rsidRDefault="00000000" w:rsidRPr="00000000" w14:paraId="000000D7">
            <w:pPr>
              <w:shd w:fill="ffffff" w:val="clear"/>
              <w:spacing w:after="300" w:line="342.85714285714283" w:lineRule="auto"/>
              <w:rPr/>
            </w:pPr>
            <w:r w:rsidDel="00000000" w:rsidR="00000000" w:rsidRPr="00000000">
              <w:rPr>
                <w:rtl w:val="0"/>
              </w:rPr>
              <w:t xml:space="preserve">Total</w:t>
            </w:r>
          </w:p>
        </w:tc>
        <w:tc>
          <w:tcPr>
            <w:tcBorders>
              <w:top w:color="000000" w:space="0" w:sz="0" w:val="nil"/>
              <w:left w:color="000000" w:space="0" w:sz="0" w:val="nil"/>
              <w:bottom w:color="000000" w:space="0" w:sz="0" w:val="nil"/>
              <w:right w:color="000000" w:space="0" w:sz="0" w:val="nil"/>
            </w:tcBorders>
            <w:tcMar>
              <w:top w:w="180.0" w:type="dxa"/>
              <w:left w:w="160.0" w:type="dxa"/>
              <w:bottom w:w="180.0" w:type="dxa"/>
              <w:right w:w="100.0" w:type="dxa"/>
            </w:tcMar>
            <w:vAlign w:val="top"/>
          </w:tcPr>
          <w:p w:rsidR="00000000" w:rsidDel="00000000" w:rsidP="00000000" w:rsidRDefault="00000000" w:rsidRPr="00000000" w14:paraId="000000D8">
            <w:pPr>
              <w:shd w:fill="ffffff" w:val="clear"/>
              <w:spacing w:after="300" w:line="342.85714285714283" w:lineRule="auto"/>
              <w:rPr/>
            </w:pPr>
            <w:r w:rsidDel="00000000" w:rsidR="00000000" w:rsidRPr="00000000">
              <w:rPr>
                <w:rtl w:val="0"/>
              </w:rPr>
              <w:t xml:space="preserve">£28.4 billion</w:t>
            </w:r>
          </w:p>
          <w:p w:rsidR="00000000" w:rsidDel="00000000" w:rsidP="00000000" w:rsidRDefault="00000000" w:rsidRPr="00000000" w14:paraId="000000D9">
            <w:pPr>
              <w:shd w:fill="ffffff" w:val="clear"/>
              <w:spacing w:after="300" w:line="342.85714285714283" w:lineRule="auto"/>
              <w:rPr/>
            </w:pPr>
            <w:r w:rsidDel="00000000" w:rsidR="00000000" w:rsidRPr="00000000">
              <w:rPr>
                <w:rtl w:val="0"/>
              </w:rPr>
            </w:r>
          </w:p>
        </w:tc>
      </w:tr>
    </w:tbl>
    <w:p w:rsidR="00000000" w:rsidDel="00000000" w:rsidP="00000000" w:rsidRDefault="00000000" w:rsidRPr="00000000" w14:paraId="000000DA">
      <w:pPr>
        <w:rPr/>
      </w:pPr>
      <w:r w:rsidDel="00000000" w:rsidR="00000000" w:rsidRPr="00000000">
        <w:rPr>
          <w:highlight w:val="white"/>
          <w:rtl w:val="0"/>
        </w:rPr>
        <w:t xml:space="preserve">In 2023, the UK public donated an estimated £13.9 billion to charity, which is a record amount and a 9% increase from 2022. This was despite fewer people donating than before the pandemic, with some donors giving larger amounts.</w:t>
      </w:r>
      <w:r w:rsidDel="00000000" w:rsidR="00000000" w:rsidRPr="00000000">
        <w:rPr>
          <w:sz w:val="27"/>
          <w:szCs w:val="27"/>
          <w:highlight w:val="white"/>
          <w:rtl w:val="0"/>
        </w:rPr>
        <w:t xml:space="preserve"> </w:t>
      </w: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Some 290,000 eligible households sought local authorities' help on homelessness in 2021/22. </w:t>
      </w:r>
    </w:p>
    <w:p w:rsidR="00000000" w:rsidDel="00000000" w:rsidP="00000000" w:rsidRDefault="00000000" w:rsidRPr="00000000" w14:paraId="000000DE">
      <w:pPr>
        <w:rPr/>
      </w:pPr>
      <w:r w:rsidDel="00000000" w:rsidR="00000000" w:rsidRPr="00000000">
        <w:rPr>
          <w:rtl w:val="0"/>
        </w:rPr>
        <w:t xml:space="preserve">Crisis</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Criminal Bill - a criminal offence to be homeless. </w:t>
      </w:r>
    </w:p>
    <w:p w:rsidR="00000000" w:rsidDel="00000000" w:rsidP="00000000" w:rsidRDefault="00000000" w:rsidRPr="00000000" w14:paraId="000000E1">
      <w:pPr>
        <w:rPr>
          <w:b w:val="1"/>
        </w:rPr>
      </w:pPr>
      <w:r w:rsidDel="00000000" w:rsidR="00000000" w:rsidRPr="00000000">
        <w:rPr>
          <w:rtl w:val="0"/>
        </w:rPr>
        <w:t xml:space="preserve">The Big Issue </w:t>
      </w:r>
      <w:hyperlink r:id="rId30">
        <w:r w:rsidDel="00000000" w:rsidR="00000000" w:rsidRPr="00000000">
          <w:rPr>
            <w:b w:val="1"/>
            <w:rtl w:val="0"/>
          </w:rPr>
          <w:t xml:space="preserve">Liam Geraghty</w:t>
        </w:r>
      </w:hyperlink>
      <w:r w:rsidDel="00000000" w:rsidR="00000000" w:rsidRPr="00000000">
        <w:rPr>
          <w:rtl w:val="0"/>
        </w:rPr>
      </w:r>
    </w:p>
    <w:p w:rsidR="00000000" w:rsidDel="00000000" w:rsidP="00000000" w:rsidRDefault="00000000" w:rsidRPr="00000000" w14:paraId="000000E2">
      <w:pPr>
        <w:rPr>
          <w:color w:val="716767"/>
        </w:rPr>
      </w:pPr>
      <w:r w:rsidDel="00000000" w:rsidR="00000000" w:rsidRPr="00000000">
        <w:rPr>
          <w:color w:val="716767"/>
          <w:rtl w:val="0"/>
        </w:rPr>
        <w:t xml:space="preserve"> 11 Apr 2024</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We have learned nothing over the past 200 years.</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Steve Gower</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sectPr>
      <w:footerReference r:id="rId3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font w:name="Oswa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Oswald" w:cs="Oswald" w:eastAsia="Oswald" w:hAnsi="Oswald"/>
        <w:b w:val="1"/>
        <w:color w:val="21252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2021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n.wikipedia.org/wiki/2007%E2%80%932008_financial_crisis#cite_note-1" TargetMode="External"/><Relationship Id="rId22" Type="http://schemas.openxmlformats.org/officeDocument/2006/relationships/hyperlink" Target="https://en.wikipedia.org/wiki/2007%E2%80%932008_financial_crisis#cite_note-2" TargetMode="External"/><Relationship Id="rId21" Type="http://schemas.openxmlformats.org/officeDocument/2006/relationships/hyperlink" Target="https://en.wikipedia.org/wiki/Financial_institution" TargetMode="External"/><Relationship Id="rId24" Type="http://schemas.openxmlformats.org/officeDocument/2006/relationships/hyperlink" Target="https://en.wikipedia.org/wiki/2000s_United_States_housing_bubble" TargetMode="External"/><Relationship Id="rId23" Type="http://schemas.openxmlformats.org/officeDocument/2006/relationships/hyperlink" Target="https://en.wikipedia.org/wiki/Toxic_ass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source.org/wiki/The_Four_Freedoms_speech" TargetMode="External"/><Relationship Id="rId26" Type="http://schemas.openxmlformats.org/officeDocument/2006/relationships/hyperlink" Target="https://en.wikipedia.org/wiki/Great_Recession" TargetMode="External"/><Relationship Id="rId25" Type="http://schemas.openxmlformats.org/officeDocument/2006/relationships/hyperlink" Target="https://en.wikipedia.org/wiki/Perfect_storm" TargetMode="External"/><Relationship Id="rId28" Type="http://schemas.openxmlformats.org/officeDocument/2006/relationships/hyperlink" Target="http://tracking.homecareassociation.org.uk/tracking/click?d=UaQ5-QSf01x0-CDyTmoMSrB9BQEqwdz2g5yyu3lfkhejVGI1OIfKEar5B2CwnjQZ65TySIjdF53j5Mz8EluAsMB2Z-aQe-1VoPYdVoiHiIucM1tqsItVMeMyct0WLu3zA6Y_gcPkCzxBbKeRfzXz1P9ocIPD8Tcg58y99Fw93nA8Rqd296CzbhfyH8NalW465657QKpwYb_VLQtDo6qrt-41" TargetMode="External"/><Relationship Id="rId27" Type="http://schemas.openxmlformats.org/officeDocument/2006/relationships/hyperlink" Target="https://www.taylorwimpey.co.uk/" TargetMode="External"/><Relationship Id="rId5" Type="http://schemas.openxmlformats.org/officeDocument/2006/relationships/styles" Target="styles.xml"/><Relationship Id="rId6" Type="http://schemas.openxmlformats.org/officeDocument/2006/relationships/hyperlink" Target="https://www.thepavement.org.uk/stories/1029" TargetMode="External"/><Relationship Id="rId29" Type="http://schemas.openxmlformats.org/officeDocument/2006/relationships/hyperlink" Target="https://www.statista.com/" TargetMode="External"/><Relationship Id="rId7" Type="http://schemas.openxmlformats.org/officeDocument/2006/relationships/hyperlink" Target="https://www.thepavement.org.uk/stories?journalist=91" TargetMode="External"/><Relationship Id="rId8" Type="http://schemas.openxmlformats.org/officeDocument/2006/relationships/hyperlink" Target="https://www.penarthtimes.co.uk/news/national/16888594.key-events-history-uk-council-housing/" TargetMode="External"/><Relationship Id="rId31" Type="http://schemas.openxmlformats.org/officeDocument/2006/relationships/footer" Target="footer1.xml"/><Relationship Id="rId30" Type="http://schemas.openxmlformats.org/officeDocument/2006/relationships/hyperlink" Target="https://www.bigissue.com/author/liam-geraghty/" TargetMode="External"/><Relationship Id="rId11" Type="http://schemas.openxmlformats.org/officeDocument/2006/relationships/hyperlink" Target="https://en.wikipedia.org/wiki/Freedom_of_worship" TargetMode="External"/><Relationship Id="rId10" Type="http://schemas.openxmlformats.org/officeDocument/2006/relationships/hyperlink" Target="https://en.wikipedia.org/wiki/Freedom_of_speech" TargetMode="External"/><Relationship Id="rId13" Type="http://schemas.openxmlformats.org/officeDocument/2006/relationships/hyperlink" Target="https://en.wikipedia.org/wiki/Freedom_from_fear" TargetMode="External"/><Relationship Id="rId12" Type="http://schemas.openxmlformats.org/officeDocument/2006/relationships/hyperlink" Target="https://en.wikipedia.org/wiki/Freedom_from_want" TargetMode="External"/><Relationship Id="rId15" Type="http://schemas.openxmlformats.org/officeDocument/2006/relationships/hyperlink" Target="https://www.penarthtimes.co.uk/news/national/16888594.key-events-history-uk-council-housing/" TargetMode="External"/><Relationship Id="rId14" Type="http://schemas.openxmlformats.org/officeDocument/2006/relationships/hyperlink" Target="https://www.un.org/en/about-us/universal-declaration-of-human-rights" TargetMode="External"/><Relationship Id="rId17" Type="http://schemas.openxmlformats.org/officeDocument/2006/relationships/hyperlink" Target="https://en.wikipedia.org/wiki/Great_Depression" TargetMode="External"/><Relationship Id="rId16" Type="http://schemas.openxmlformats.org/officeDocument/2006/relationships/hyperlink" Target="https://en.wikipedia.org/wiki/Financial_crisis" TargetMode="External"/><Relationship Id="rId19" Type="http://schemas.openxmlformats.org/officeDocument/2006/relationships/hyperlink" Target="https://en.wikipedia.org/wiki/Subprime_lending" TargetMode="External"/><Relationship Id="rId18" Type="http://schemas.openxmlformats.org/officeDocument/2006/relationships/hyperlink" Target="https://en.wikipedia.org/wiki/Predatory_le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